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33767D" w14:textId="77777777" w:rsidR="003554DB" w:rsidRPr="007F0849" w:rsidRDefault="003554DB" w:rsidP="00726C21">
      <w:pPr>
        <w:contextualSpacing/>
        <w:jc w:val="center"/>
        <w:rPr>
          <w:b/>
          <w:u w:val="single"/>
        </w:rPr>
      </w:pPr>
      <w:bookmarkStart w:id="0" w:name="_GoBack"/>
      <w:bookmarkEnd w:id="0"/>
      <w:r w:rsidRPr="007F0849">
        <w:rPr>
          <w:b/>
          <w:u w:val="single"/>
        </w:rPr>
        <w:t>TEXAS SOUTHERN UNIVERSITY</w:t>
      </w:r>
    </w:p>
    <w:p w14:paraId="4A55860E" w14:textId="77777777" w:rsidR="003554DB" w:rsidRPr="007F0849" w:rsidRDefault="003554DB" w:rsidP="00726C21">
      <w:pPr>
        <w:contextualSpacing/>
        <w:jc w:val="center"/>
        <w:rPr>
          <w:b/>
          <w:u w:val="single"/>
        </w:rPr>
      </w:pPr>
      <w:r w:rsidRPr="007F0849">
        <w:rPr>
          <w:b/>
          <w:u w:val="single"/>
        </w:rPr>
        <w:t>THURGOOD MARSHALL SCHOOL OF LAW</w:t>
      </w:r>
    </w:p>
    <w:p w14:paraId="4E04AF76" w14:textId="14042FBA" w:rsidR="003554DB" w:rsidRPr="007F0849" w:rsidRDefault="00726C21" w:rsidP="00726C21">
      <w:pPr>
        <w:contextualSpacing/>
        <w:jc w:val="center"/>
        <w:rPr>
          <w:b/>
          <w:u w:val="single"/>
        </w:rPr>
      </w:pPr>
      <w:r w:rsidRPr="007F0849">
        <w:rPr>
          <w:b/>
          <w:u w:val="single"/>
        </w:rPr>
        <w:t>SPRING 201</w:t>
      </w:r>
      <w:r w:rsidR="00587AE9" w:rsidRPr="007F0849">
        <w:rPr>
          <w:b/>
          <w:u w:val="single"/>
        </w:rPr>
        <w:t xml:space="preserve">8 </w:t>
      </w:r>
      <w:r w:rsidRPr="007F0849">
        <w:rPr>
          <w:b/>
          <w:u w:val="single"/>
        </w:rPr>
        <w:t xml:space="preserve"> </w:t>
      </w:r>
      <w:r w:rsidR="003554DB" w:rsidRPr="007F0849">
        <w:rPr>
          <w:b/>
          <w:u w:val="single"/>
        </w:rPr>
        <w:t>NATIONALITY LAW COURSE</w:t>
      </w:r>
    </w:p>
    <w:p w14:paraId="24CC1CAF" w14:textId="77777777" w:rsidR="003554DB" w:rsidRPr="007F0849" w:rsidRDefault="003554DB" w:rsidP="00726C21">
      <w:pPr>
        <w:contextualSpacing/>
        <w:jc w:val="center"/>
        <w:rPr>
          <w:b/>
          <w:u w:val="single"/>
        </w:rPr>
      </w:pPr>
      <w:r w:rsidRPr="007F0849">
        <w:rPr>
          <w:b/>
          <w:u w:val="single"/>
        </w:rPr>
        <w:t>COURSE # 563</w:t>
      </w:r>
    </w:p>
    <w:p w14:paraId="45751EBF" w14:textId="77777777" w:rsidR="003554DB" w:rsidRPr="007F0849" w:rsidRDefault="003554DB" w:rsidP="00726C21">
      <w:pPr>
        <w:contextualSpacing/>
        <w:jc w:val="center"/>
        <w:rPr>
          <w:b/>
          <w:u w:val="single"/>
        </w:rPr>
      </w:pPr>
      <w:r w:rsidRPr="007F0849">
        <w:rPr>
          <w:b/>
          <w:u w:val="single"/>
        </w:rPr>
        <w:t>SYLLABUS</w:t>
      </w:r>
    </w:p>
    <w:p w14:paraId="39294F91" w14:textId="77777777" w:rsidR="00C1371D" w:rsidRPr="007F0849" w:rsidRDefault="00C1371D" w:rsidP="00726C21">
      <w:pPr>
        <w:contextualSpacing/>
        <w:jc w:val="center"/>
        <w:rPr>
          <w:b/>
          <w:u w:val="single"/>
        </w:rPr>
      </w:pPr>
    </w:p>
    <w:p w14:paraId="00DE40C7" w14:textId="77777777" w:rsidR="00726C21" w:rsidRPr="007F0849" w:rsidRDefault="00726C21" w:rsidP="003554DB">
      <w:pPr>
        <w:pStyle w:val="ListParagraph"/>
        <w:ind w:left="1080"/>
      </w:pPr>
    </w:p>
    <w:p w14:paraId="6967B043" w14:textId="77777777" w:rsidR="00C1371D" w:rsidRPr="007F0849" w:rsidRDefault="00C1371D" w:rsidP="003554DB">
      <w:pPr>
        <w:pStyle w:val="ListParagraph"/>
        <w:numPr>
          <w:ilvl w:val="0"/>
          <w:numId w:val="1"/>
        </w:numPr>
      </w:pPr>
      <w:r w:rsidRPr="007F0849">
        <w:t>Maurice Hew, Jr.*</w:t>
      </w:r>
    </w:p>
    <w:p w14:paraId="49E1ED5B" w14:textId="77777777" w:rsidR="00C1371D" w:rsidRPr="007F0849" w:rsidRDefault="00C1371D" w:rsidP="00C1371D">
      <w:pPr>
        <w:pStyle w:val="ListParagraph"/>
        <w:ind w:left="1080"/>
      </w:pPr>
      <w:r w:rsidRPr="007F0849">
        <w:t>Professor of law</w:t>
      </w:r>
    </w:p>
    <w:p w14:paraId="7B5B9A64" w14:textId="77777777" w:rsidR="00C1371D" w:rsidRPr="007F0849" w:rsidRDefault="00C1371D" w:rsidP="00C1371D">
      <w:pPr>
        <w:pStyle w:val="ListParagraph"/>
        <w:ind w:left="1080"/>
      </w:pPr>
      <w:r w:rsidRPr="007F0849">
        <w:t>Thurgood Marshall School of Law</w:t>
      </w:r>
    </w:p>
    <w:p w14:paraId="043EE279" w14:textId="77777777" w:rsidR="00C1371D" w:rsidRPr="007F0849" w:rsidRDefault="00C1371D" w:rsidP="00C1371D">
      <w:pPr>
        <w:pStyle w:val="ListParagraph"/>
        <w:ind w:left="1080"/>
      </w:pPr>
      <w:r w:rsidRPr="007F0849">
        <w:t>3100 Cleburne Street</w:t>
      </w:r>
    </w:p>
    <w:p w14:paraId="7B82DE0C" w14:textId="77777777" w:rsidR="00C1371D" w:rsidRPr="007F0849" w:rsidRDefault="00C1371D" w:rsidP="00C1371D">
      <w:pPr>
        <w:pStyle w:val="ListParagraph"/>
        <w:ind w:left="1080"/>
      </w:pPr>
      <w:r w:rsidRPr="007F0849">
        <w:t>Houston, TX 77004</w:t>
      </w:r>
    </w:p>
    <w:p w14:paraId="668D64FF" w14:textId="77777777" w:rsidR="00C1371D" w:rsidRPr="007F0849" w:rsidRDefault="00C1371D" w:rsidP="00C1371D">
      <w:pPr>
        <w:pStyle w:val="ListParagraph"/>
        <w:ind w:left="1080"/>
      </w:pPr>
      <w:r w:rsidRPr="007F0849">
        <w:t>713 313 7275</w:t>
      </w:r>
    </w:p>
    <w:p w14:paraId="5968878A" w14:textId="77777777" w:rsidR="00C1371D" w:rsidRPr="007F0849" w:rsidRDefault="00C1371D" w:rsidP="00C1371D">
      <w:pPr>
        <w:pStyle w:val="ListParagraph"/>
        <w:ind w:left="1080"/>
      </w:pPr>
      <w:r w:rsidRPr="007F0849">
        <w:t>*Board Certified, Immigration and Nationality Law</w:t>
      </w:r>
    </w:p>
    <w:p w14:paraId="1A24B178" w14:textId="7CABB7CA" w:rsidR="00C1371D" w:rsidRPr="007F0849" w:rsidRDefault="00C1371D" w:rsidP="00C1371D">
      <w:pPr>
        <w:pStyle w:val="ListParagraph"/>
        <w:ind w:left="1080"/>
      </w:pPr>
      <w:r w:rsidRPr="007F0849">
        <w:t>Texas Board of Legal Specialization</w:t>
      </w:r>
    </w:p>
    <w:p w14:paraId="22F98437" w14:textId="12639977" w:rsidR="0020712A" w:rsidRPr="007F0849" w:rsidRDefault="0020712A" w:rsidP="00C1371D">
      <w:pPr>
        <w:pStyle w:val="ListParagraph"/>
        <w:ind w:left="1080"/>
      </w:pPr>
      <w:r w:rsidRPr="007F0849">
        <w:t>mahew@tmslaw.tsu.edu</w:t>
      </w:r>
    </w:p>
    <w:p w14:paraId="0CB9177F" w14:textId="77777777" w:rsidR="00C1371D" w:rsidRPr="007F0849" w:rsidRDefault="00C1371D" w:rsidP="00C1371D">
      <w:pPr>
        <w:pStyle w:val="ListParagraph"/>
        <w:ind w:left="1080"/>
      </w:pPr>
    </w:p>
    <w:p w14:paraId="794524FC" w14:textId="54886F9D" w:rsidR="003554DB" w:rsidRPr="007F0849" w:rsidRDefault="003554DB" w:rsidP="00B6699F">
      <w:pPr>
        <w:pStyle w:val="ListParagraph"/>
        <w:numPr>
          <w:ilvl w:val="0"/>
          <w:numId w:val="1"/>
        </w:numPr>
      </w:pPr>
      <w:r w:rsidRPr="007F0849">
        <w:t>MEETING TIMES</w:t>
      </w:r>
    </w:p>
    <w:p w14:paraId="2D66F624" w14:textId="77777777" w:rsidR="00DE0E80" w:rsidRPr="007F0849" w:rsidRDefault="003554DB" w:rsidP="00DE0E80">
      <w:pPr>
        <w:ind w:left="360" w:firstLine="720"/>
      </w:pPr>
      <w:r w:rsidRPr="007F0849">
        <w:t>Tuesdays and T</w:t>
      </w:r>
      <w:r w:rsidR="00C153A3" w:rsidRPr="007F0849">
        <w:t xml:space="preserve">hursdays from </w:t>
      </w:r>
      <w:r w:rsidR="0020712A" w:rsidRPr="007F0849">
        <w:t xml:space="preserve">5:00 </w:t>
      </w:r>
      <w:r w:rsidR="00C153A3" w:rsidRPr="007F0849">
        <w:t>p.m.-</w:t>
      </w:r>
      <w:r w:rsidR="0020712A" w:rsidRPr="007F0849">
        <w:t xml:space="preserve">6:30 </w:t>
      </w:r>
      <w:r w:rsidR="00C153A3" w:rsidRPr="007F0849">
        <w:t xml:space="preserve"> P.M</w:t>
      </w:r>
      <w:r w:rsidRPr="007F0849">
        <w:t>.</w:t>
      </w:r>
    </w:p>
    <w:p w14:paraId="2DB34B93" w14:textId="77777777" w:rsidR="00DE0E80" w:rsidRPr="007F0849" w:rsidRDefault="0033530C" w:rsidP="00DE0E80">
      <w:pPr>
        <w:ind w:left="360" w:firstLine="720"/>
      </w:pPr>
      <w:r w:rsidRPr="007F0849">
        <w:rPr>
          <w:u w:val="single"/>
        </w:rPr>
        <w:t>Holidays</w:t>
      </w:r>
    </w:p>
    <w:p w14:paraId="1A92C090" w14:textId="77777777" w:rsidR="00DE0E80" w:rsidRPr="007F0849" w:rsidRDefault="0033530C" w:rsidP="00DE0E80">
      <w:pPr>
        <w:ind w:left="360" w:firstLine="720"/>
      </w:pPr>
      <w:r w:rsidRPr="007F0849">
        <w:t>Midterm week March 7 &amp;</w:t>
      </w:r>
      <w:r w:rsidR="003554DB" w:rsidRPr="007F0849">
        <w:t xml:space="preserve"> </w:t>
      </w:r>
      <w:r w:rsidRPr="007F0849">
        <w:t>March 9</w:t>
      </w:r>
      <w:r w:rsidR="003554DB" w:rsidRPr="007F0849">
        <w:t>, 2017</w:t>
      </w:r>
    </w:p>
    <w:p w14:paraId="51464036" w14:textId="565AEDE1" w:rsidR="00DB2A46" w:rsidRPr="007F0849" w:rsidRDefault="0033530C" w:rsidP="00202854">
      <w:pPr>
        <w:ind w:left="360" w:firstLine="720"/>
      </w:pPr>
      <w:r w:rsidRPr="007F0849">
        <w:t>Spring break</w:t>
      </w:r>
      <w:r w:rsidR="003554DB" w:rsidRPr="007F0849">
        <w:t xml:space="preserve"> March 14 &amp; March 16, 2017</w:t>
      </w:r>
      <w:r w:rsidR="00726C21" w:rsidRPr="007F0849">
        <w:rPr>
          <w:u w:val="single"/>
        </w:rPr>
        <w:t xml:space="preserve"> </w:t>
      </w:r>
    </w:p>
    <w:p w14:paraId="38B104B1" w14:textId="77777777" w:rsidR="00C153A3" w:rsidRPr="007F0849" w:rsidRDefault="00C153A3" w:rsidP="00726C21">
      <w:pPr>
        <w:pStyle w:val="ListParagraph"/>
        <w:numPr>
          <w:ilvl w:val="0"/>
          <w:numId w:val="1"/>
        </w:numPr>
      </w:pPr>
      <w:r w:rsidRPr="007F0849">
        <w:t>LOCATION</w:t>
      </w:r>
    </w:p>
    <w:p w14:paraId="7A0DCCA5" w14:textId="32EC3400" w:rsidR="00C153A3" w:rsidRPr="007F0849" w:rsidRDefault="00C153A3" w:rsidP="00DB2A46">
      <w:pPr>
        <w:ind w:left="720" w:firstLine="360"/>
      </w:pPr>
      <w:r w:rsidRPr="007F0849">
        <w:t>TMSLAW ROOM 2</w:t>
      </w:r>
      <w:r w:rsidR="0020712A" w:rsidRPr="007F0849">
        <w:t>11</w:t>
      </w:r>
    </w:p>
    <w:p w14:paraId="7E70C7AE" w14:textId="77777777" w:rsidR="00EF5D71" w:rsidRPr="007F0849" w:rsidRDefault="00C1371D" w:rsidP="00C1371D">
      <w:pPr>
        <w:pStyle w:val="ListParagraph"/>
        <w:numPr>
          <w:ilvl w:val="0"/>
          <w:numId w:val="1"/>
        </w:numPr>
      </w:pPr>
      <w:r w:rsidRPr="007F0849">
        <w:t>OFFICE HOURS</w:t>
      </w:r>
    </w:p>
    <w:p w14:paraId="6DF10FE6" w14:textId="3614C637" w:rsidR="00DB2A46" w:rsidRPr="007F0849" w:rsidRDefault="00C1371D" w:rsidP="00DB2A46">
      <w:pPr>
        <w:ind w:left="360" w:firstLine="720"/>
      </w:pPr>
      <w:r w:rsidRPr="007F0849">
        <w:t xml:space="preserve">By Appointment. I would </w:t>
      </w:r>
      <w:r w:rsidR="00DB2A46" w:rsidRPr="007F0849">
        <w:t xml:space="preserve">preferably </w:t>
      </w:r>
      <w:r w:rsidRPr="007F0849">
        <w:t>like to schedule them before the class</w:t>
      </w:r>
      <w:r w:rsidR="0020712A" w:rsidRPr="007F0849">
        <w:t xml:space="preserve">. </w:t>
      </w:r>
    </w:p>
    <w:p w14:paraId="12348ED8" w14:textId="6AECBFAC" w:rsidR="00C1371D" w:rsidRPr="007F0849" w:rsidRDefault="0020712A" w:rsidP="00DB2A46">
      <w:pPr>
        <w:ind w:left="360" w:firstLine="720"/>
      </w:pPr>
      <w:r w:rsidRPr="007F0849">
        <w:t>I am free to meet off campus but m</w:t>
      </w:r>
      <w:r w:rsidR="00C1371D" w:rsidRPr="007F0849">
        <w:t>y office location is 100 G in the legal clinic.</w:t>
      </w:r>
    </w:p>
    <w:p w14:paraId="36B0EF42" w14:textId="165ED5D8" w:rsidR="00726C21" w:rsidRPr="003764B7" w:rsidRDefault="00726C21" w:rsidP="003764B7">
      <w:pPr>
        <w:pStyle w:val="ListParagraph"/>
        <w:numPr>
          <w:ilvl w:val="0"/>
          <w:numId w:val="1"/>
        </w:numPr>
      </w:pPr>
      <w:r w:rsidRPr="007F0849">
        <w:t>COURSE TEXTBOOK</w:t>
      </w:r>
    </w:p>
    <w:p w14:paraId="33DFBCA0" w14:textId="48E5CBBC" w:rsidR="00B90629" w:rsidRPr="007F0849" w:rsidRDefault="00963956" w:rsidP="00912DBD">
      <w:pPr>
        <w:ind w:left="1080"/>
        <w:rPr>
          <w:color w:val="000000"/>
        </w:rPr>
      </w:pPr>
      <w:r w:rsidRPr="007F0849">
        <w:t>S</w:t>
      </w:r>
      <w:r w:rsidR="00726C21" w:rsidRPr="007F0849">
        <w:t xml:space="preserve">tudents will be required to research Immigration statutes and regulations.  Students will also be assigned cases to </w:t>
      </w:r>
      <w:r w:rsidR="00C153A3" w:rsidRPr="007F0849">
        <w:t xml:space="preserve">read and </w:t>
      </w:r>
      <w:r w:rsidR="00726C21" w:rsidRPr="007F0849">
        <w:t>study</w:t>
      </w:r>
      <w:r w:rsidR="00C153A3" w:rsidRPr="007F0849">
        <w:t>,</w:t>
      </w:r>
      <w:r w:rsidR="00726C21" w:rsidRPr="007F0849">
        <w:t xml:space="preserve"> to learn how the citizenship and naturalization laws are applied.</w:t>
      </w:r>
      <w:r w:rsidR="00314C68" w:rsidRPr="007F0849">
        <w:t xml:space="preserve">  Students will also be required to review regulations and miscellaneous memorandums and documents. Students might also be required to review the laws of foreign </w:t>
      </w:r>
      <w:r w:rsidR="00EC72E5" w:rsidRPr="007F0849">
        <w:t>states as well as states in the United States</w:t>
      </w:r>
      <w:r w:rsidR="00314C68" w:rsidRPr="007F0849">
        <w:t>.</w:t>
      </w:r>
      <w:r w:rsidR="00B90629" w:rsidRPr="007F0849">
        <w:rPr>
          <w:color w:val="000000"/>
        </w:rPr>
        <w:t xml:space="preserve"> </w:t>
      </w:r>
    </w:p>
    <w:p w14:paraId="32858E80" w14:textId="60B84CEF" w:rsidR="00C1371D" w:rsidRPr="00647E92" w:rsidRDefault="00963956" w:rsidP="00647E92">
      <w:pPr>
        <w:ind w:left="1080"/>
        <w:rPr>
          <w:color w:val="000000"/>
        </w:rPr>
      </w:pPr>
      <w:r w:rsidRPr="007F0849">
        <w:rPr>
          <w:color w:val="000000"/>
        </w:rPr>
        <w:t>I will be using the Immigration and Nationality Handbook published by LexisNexis.</w:t>
      </w:r>
    </w:p>
    <w:p w14:paraId="3004FA26" w14:textId="3C0343E4" w:rsidR="00B21B8A" w:rsidRPr="00202854" w:rsidRDefault="00C1371D" w:rsidP="00202854">
      <w:pPr>
        <w:pStyle w:val="ListParagraph"/>
        <w:numPr>
          <w:ilvl w:val="0"/>
          <w:numId w:val="1"/>
        </w:numPr>
      </w:pPr>
      <w:r w:rsidRPr="007F0849">
        <w:t>COURSE DESCRIPTION</w:t>
      </w:r>
    </w:p>
    <w:p w14:paraId="1EEF2730" w14:textId="621D4C8B" w:rsidR="00B90629" w:rsidRPr="007F0849" w:rsidRDefault="00B90629" w:rsidP="00B90629">
      <w:pPr>
        <w:ind w:left="1080"/>
        <w:rPr>
          <w:color w:val="000000"/>
        </w:rPr>
      </w:pPr>
      <w:r w:rsidRPr="007F0849">
        <w:rPr>
          <w:color w:val="000000"/>
        </w:rPr>
        <w:t>This three hou</w:t>
      </w:r>
      <w:r w:rsidR="003764B7">
        <w:rPr>
          <w:color w:val="000000"/>
        </w:rPr>
        <w:t>r</w:t>
      </w:r>
      <w:r w:rsidRPr="007F0849">
        <w:rPr>
          <w:color w:val="000000"/>
        </w:rPr>
        <w:t xml:space="preserve"> course explores the theories, procedures, and practices relating to US nationality laws, as interpreted and applied by courts, tribunals, and government officials.   In particular, automatic acquisition of United States Citizenship at birth </w:t>
      </w:r>
      <w:r w:rsidRPr="007F0849">
        <w:rPr>
          <w:color w:val="000000"/>
        </w:rPr>
        <w:lastRenderedPageBreak/>
        <w:t>and after birth; comparison of the various statutory forms of naturalization; calculation of time; contrast meaningful terms of art, such as permanent residence, residence, physical presence, good moral character and good order and happiness of the United States; wedlock and out of wedlock; and legitimate and illegitimate births.  This course also addresses: revocation of nationality and immigration status through criminal actions and voluntary renunciation resulting in possible statelessness; Federal Court nationality and noncitizen nationality litigation and passport litigation; nationality as a defense to federal crimes and immigration removal; and US nationality benefits, rights, and, membership obligations.  A special study of Texas’ administrative birth certificates litigation will also be addressed.</w:t>
      </w:r>
    </w:p>
    <w:p w14:paraId="54FDF237" w14:textId="17723FFA" w:rsidR="00B21B8A" w:rsidRPr="007F0849" w:rsidRDefault="00B90629" w:rsidP="00963956">
      <w:pPr>
        <w:ind w:left="1080"/>
        <w:rPr>
          <w:color w:val="000000"/>
        </w:rPr>
      </w:pPr>
      <w:r w:rsidRPr="007F0849">
        <w:rPr>
          <w:color w:val="000000"/>
          <w:lang w:val="en"/>
        </w:rPr>
        <w:t>Consistent class preparation and participation are essential to acquire an understanding of this topic; students will have assigned readings as background for class discussion and analysis of problems presented.  The final grade will be based on class participation and the final exam.</w:t>
      </w:r>
    </w:p>
    <w:p w14:paraId="3F86A393" w14:textId="2195FFA0" w:rsidR="00726C21" w:rsidRDefault="00726C21" w:rsidP="00726C21">
      <w:pPr>
        <w:pStyle w:val="ListParagraph"/>
        <w:numPr>
          <w:ilvl w:val="0"/>
          <w:numId w:val="1"/>
        </w:numPr>
      </w:pPr>
      <w:r w:rsidRPr="007F0849">
        <w:t>STUDENT OUTCOMES</w:t>
      </w:r>
    </w:p>
    <w:p w14:paraId="127C6A3B" w14:textId="77777777" w:rsidR="007F0849" w:rsidRPr="007F0849" w:rsidRDefault="007F0849" w:rsidP="007F0849">
      <w:pPr>
        <w:pStyle w:val="ListParagraph"/>
        <w:ind w:left="1080"/>
      </w:pPr>
    </w:p>
    <w:p w14:paraId="2B3E25F4" w14:textId="29D7CDA9" w:rsidR="00726C21" w:rsidRPr="007F0849" w:rsidRDefault="00726C21" w:rsidP="00726C21">
      <w:pPr>
        <w:pStyle w:val="ListParagraph"/>
        <w:ind w:left="1080"/>
      </w:pPr>
      <w:r w:rsidRPr="007F0849">
        <w:t xml:space="preserve">At the end of this course, the student is expected to have the requisite skills necessary to determine whether an individual is a United States Citizen at birth or is eligible for United States </w:t>
      </w:r>
      <w:r w:rsidR="009B49E7">
        <w:t>n</w:t>
      </w:r>
      <w:r w:rsidRPr="007F0849">
        <w:t>aturalization</w:t>
      </w:r>
      <w:r w:rsidR="009B49E7">
        <w:t xml:space="preserve"> by statute or by application</w:t>
      </w:r>
      <w:r w:rsidRPr="007F0849">
        <w:t>.  The student is also expected to provide the pertinent authority which forms the basis for their opinion.</w:t>
      </w:r>
    </w:p>
    <w:p w14:paraId="0A42DC88" w14:textId="77777777" w:rsidR="00C1371D" w:rsidRPr="007F0849" w:rsidRDefault="00C1371D" w:rsidP="00726C21">
      <w:pPr>
        <w:pStyle w:val="ListParagraph"/>
        <w:ind w:left="1080"/>
      </w:pPr>
    </w:p>
    <w:p w14:paraId="42130D8C" w14:textId="77777777" w:rsidR="0033530C" w:rsidRPr="007F0849" w:rsidRDefault="00C1371D" w:rsidP="00C1371D">
      <w:pPr>
        <w:pStyle w:val="ListParagraph"/>
        <w:numPr>
          <w:ilvl w:val="0"/>
          <w:numId w:val="1"/>
        </w:numPr>
      </w:pPr>
      <w:r w:rsidRPr="007F0849">
        <w:t>Attendance Policy</w:t>
      </w:r>
    </w:p>
    <w:p w14:paraId="6FFB79EA" w14:textId="77777777" w:rsidR="00C1371D" w:rsidRPr="007F0849" w:rsidRDefault="00C1371D" w:rsidP="00C1371D">
      <w:pPr>
        <w:pStyle w:val="ListParagraph"/>
        <w:ind w:left="1080"/>
      </w:pPr>
    </w:p>
    <w:p w14:paraId="1D80FFD8" w14:textId="77777777" w:rsidR="00C1371D" w:rsidRPr="007F0849" w:rsidRDefault="00C1371D" w:rsidP="00C1371D">
      <w:pPr>
        <w:pStyle w:val="ListParagraph"/>
        <w:ind w:left="1080"/>
      </w:pPr>
      <w:r w:rsidRPr="007F0849">
        <w:t>Students are required to comply with the attendance policy in the TMSL Rules and Regulations Handbook which this professor cannot change.</w:t>
      </w:r>
    </w:p>
    <w:p w14:paraId="78E3C26E" w14:textId="77777777" w:rsidR="00C1371D" w:rsidRPr="007F0849" w:rsidRDefault="00C1371D" w:rsidP="00C1371D">
      <w:pPr>
        <w:pStyle w:val="ListParagraph"/>
        <w:ind w:left="1080"/>
      </w:pPr>
    </w:p>
    <w:p w14:paraId="2144BD5A" w14:textId="5449044A" w:rsidR="003031C2" w:rsidRPr="007F0849" w:rsidRDefault="00C1371D" w:rsidP="009B49E7">
      <w:pPr>
        <w:pStyle w:val="ListParagraph"/>
        <w:numPr>
          <w:ilvl w:val="0"/>
          <w:numId w:val="1"/>
        </w:numPr>
      </w:pPr>
      <w:r w:rsidRPr="007F0849">
        <w:t>GRADING POLICY</w:t>
      </w:r>
    </w:p>
    <w:p w14:paraId="261A36DD" w14:textId="12C77AA4" w:rsidR="00EF7FCE" w:rsidRPr="007F0849" w:rsidRDefault="003031C2" w:rsidP="007F0849">
      <w:pPr>
        <w:ind w:left="1080"/>
      </w:pPr>
      <w:r w:rsidRPr="007F0849">
        <w:t>There will be one final examination for this course which will account for 95% of the student’s grade.  Class participation is encouraged. Class participation will account for 5% of the student’s grade.</w:t>
      </w:r>
      <w:r w:rsidR="00EF7FCE" w:rsidRPr="007F0849">
        <w:t xml:space="preserve"> </w:t>
      </w:r>
    </w:p>
    <w:p w14:paraId="09B89B88" w14:textId="77777777" w:rsidR="00EF7FCE" w:rsidRPr="007F0849" w:rsidRDefault="00EF7FCE">
      <w:r w:rsidRPr="007F0849">
        <w:br w:type="page"/>
      </w:r>
    </w:p>
    <w:p w14:paraId="2AFBA3CB" w14:textId="77777777" w:rsidR="00EF7FCE" w:rsidRPr="007F0849" w:rsidRDefault="00EF7FCE" w:rsidP="00EF7FCE">
      <w:pPr>
        <w:pStyle w:val="ListParagraph"/>
        <w:ind w:left="1440"/>
      </w:pPr>
    </w:p>
    <w:p w14:paraId="2728E1CF" w14:textId="77777777" w:rsidR="00202854" w:rsidRDefault="00EF7FCE" w:rsidP="00202854">
      <w:pPr>
        <w:pStyle w:val="ListParagraph"/>
        <w:numPr>
          <w:ilvl w:val="0"/>
          <w:numId w:val="1"/>
        </w:numPr>
      </w:pPr>
      <w:r w:rsidRPr="007F0849">
        <w:t>CALENDA</w:t>
      </w:r>
      <w:r w:rsidR="00202854">
        <w:t>R</w:t>
      </w:r>
    </w:p>
    <w:p w14:paraId="247F18BF" w14:textId="77777777" w:rsidR="00202854" w:rsidRDefault="00202854" w:rsidP="00202854">
      <w:pPr>
        <w:pStyle w:val="ListParagraph"/>
        <w:ind w:left="1080"/>
        <w:rPr>
          <w:b/>
        </w:rPr>
      </w:pPr>
    </w:p>
    <w:p w14:paraId="7E83AA47" w14:textId="52E1336F" w:rsidR="00D33A54" w:rsidRPr="00202854" w:rsidRDefault="00EF7FCE" w:rsidP="00202854">
      <w:pPr>
        <w:pStyle w:val="ListParagraph"/>
        <w:ind w:left="1080"/>
      </w:pPr>
      <w:r w:rsidRPr="00202854">
        <w:rPr>
          <w:b/>
        </w:rPr>
        <w:t>January</w:t>
      </w:r>
    </w:p>
    <w:p w14:paraId="238B6846" w14:textId="0DFDD56D" w:rsidR="00D33A54" w:rsidRPr="007F0849" w:rsidRDefault="00D33A54" w:rsidP="00317FB0">
      <w:pPr>
        <w:contextualSpacing/>
        <w:rPr>
          <w:b/>
          <w:i/>
        </w:rPr>
      </w:pPr>
      <w:r w:rsidRPr="007F0849">
        <w:tab/>
      </w:r>
      <w:r w:rsidRPr="007F0849">
        <w:tab/>
      </w:r>
      <w:r w:rsidR="00EF7FCE" w:rsidRPr="007F0849">
        <w:t>09</w:t>
      </w:r>
      <w:r w:rsidR="00C1605A" w:rsidRPr="007F0849">
        <w:t xml:space="preserve"> </w:t>
      </w:r>
      <w:r w:rsidR="00C1605A" w:rsidRPr="007F0849">
        <w:tab/>
      </w:r>
      <w:r w:rsidR="00C1605A" w:rsidRPr="007F0849">
        <w:rPr>
          <w:b/>
        </w:rPr>
        <w:t>Introduction</w:t>
      </w:r>
      <w:r w:rsidRPr="007F0849">
        <w:rPr>
          <w:b/>
          <w:i/>
        </w:rPr>
        <w:t xml:space="preserve"> </w:t>
      </w:r>
    </w:p>
    <w:p w14:paraId="6AC9C22A" w14:textId="642ED851" w:rsidR="009B49E7" w:rsidRDefault="00B90D3A" w:rsidP="00BE60D5">
      <w:pPr>
        <w:contextualSpacing/>
        <w:rPr>
          <w:i/>
        </w:rPr>
      </w:pPr>
      <w:r w:rsidRPr="007F0849">
        <w:rPr>
          <w:i/>
        </w:rPr>
        <w:tab/>
      </w:r>
      <w:r w:rsidRPr="007F0849">
        <w:rPr>
          <w:i/>
        </w:rPr>
        <w:tab/>
      </w:r>
      <w:r w:rsidRPr="007F0849">
        <w:rPr>
          <w:i/>
        </w:rPr>
        <w:tab/>
        <w:t>What is a United States Citizen?</w:t>
      </w:r>
    </w:p>
    <w:p w14:paraId="6DDD0246" w14:textId="4A5539A7" w:rsidR="009B49E7" w:rsidRDefault="002F68F0" w:rsidP="00DE604E">
      <w:pPr>
        <w:ind w:left="2160"/>
        <w:contextualSpacing/>
      </w:pPr>
      <w:r w:rsidRPr="009B49E7">
        <w:rPr>
          <w:i/>
        </w:rPr>
        <w:t>Minor v Happersett,</w:t>
      </w:r>
      <w:r w:rsidRPr="007F0849">
        <w:t xml:space="preserve"> 88 U.S. 162 (1874).</w:t>
      </w:r>
      <w:r w:rsidR="00C52C3A" w:rsidRPr="007F0849">
        <w:t xml:space="preserve">  </w:t>
      </w:r>
    </w:p>
    <w:p w14:paraId="0FB95537" w14:textId="4C27F919" w:rsidR="009B49E7" w:rsidRDefault="00406C8C" w:rsidP="00BE60D5">
      <w:pPr>
        <w:ind w:left="2160"/>
        <w:contextualSpacing/>
        <w:rPr>
          <w:i/>
        </w:rPr>
      </w:pPr>
      <w:r w:rsidRPr="007F0849">
        <w:rPr>
          <w:i/>
        </w:rPr>
        <w:t>Inglis v Sailors Snug Harbor, 28 U.S. 99 (1830</w:t>
      </w:r>
      <w:r w:rsidR="00DE2EB3" w:rsidRPr="007F0849">
        <w:rPr>
          <w:i/>
        </w:rPr>
        <w:t>).</w:t>
      </w:r>
    </w:p>
    <w:p w14:paraId="348C126B" w14:textId="77777777" w:rsidR="00BE60D5" w:rsidRDefault="00BE60D5" w:rsidP="00BE60D5">
      <w:pPr>
        <w:ind w:left="2160"/>
        <w:contextualSpacing/>
        <w:rPr>
          <w:i/>
        </w:rPr>
      </w:pPr>
    </w:p>
    <w:p w14:paraId="2556F33F" w14:textId="77777777" w:rsidR="009B49E7" w:rsidRDefault="009B49E7" w:rsidP="009B49E7">
      <w:pPr>
        <w:ind w:left="720" w:firstLine="720"/>
      </w:pPr>
      <w:r>
        <w:t xml:space="preserve">11 </w:t>
      </w:r>
      <w:r>
        <w:tab/>
      </w:r>
      <w:r w:rsidR="00DE2EB3" w:rsidRPr="00BE60D5">
        <w:rPr>
          <w:b/>
        </w:rPr>
        <w:t>Authorities</w:t>
      </w:r>
    </w:p>
    <w:p w14:paraId="47003F55" w14:textId="77777777" w:rsidR="009B49E7" w:rsidRDefault="009B49E7" w:rsidP="00BE60D5">
      <w:pPr>
        <w:ind w:left="1440" w:firstLine="720"/>
        <w:contextualSpacing/>
      </w:pPr>
      <w:r>
        <w:t xml:space="preserve">US Code/ </w:t>
      </w:r>
      <w:r w:rsidR="00DE2EB3" w:rsidRPr="007F0849">
        <w:t>Immigration and Nationality Act</w:t>
      </w:r>
      <w:r w:rsidRPr="009B49E7">
        <w:t xml:space="preserve"> </w:t>
      </w:r>
    </w:p>
    <w:p w14:paraId="33FB7329" w14:textId="162A01AD" w:rsidR="009B49E7" w:rsidRDefault="009B49E7" w:rsidP="00BE60D5">
      <w:pPr>
        <w:ind w:left="1440" w:firstLine="720"/>
        <w:contextualSpacing/>
      </w:pPr>
      <w:r w:rsidRPr="007F0849">
        <w:t>INA§101(a)(1)</w:t>
      </w:r>
      <w:r>
        <w:t xml:space="preserve">; </w:t>
      </w:r>
      <w:r w:rsidRPr="007F0849">
        <w:t>INA§103(a)(1)</w:t>
      </w:r>
      <w:r>
        <w:t xml:space="preserve">; </w:t>
      </w:r>
      <w:r w:rsidR="00546B5C" w:rsidRPr="007F0849">
        <w:t>INA §104(a)(1)</w:t>
      </w:r>
    </w:p>
    <w:p w14:paraId="4FE45A4E" w14:textId="77777777" w:rsidR="009B49E7" w:rsidRDefault="00546B5C" w:rsidP="00BE60D5">
      <w:pPr>
        <w:ind w:left="1440" w:firstLine="720"/>
        <w:contextualSpacing/>
      </w:pPr>
      <w:r w:rsidRPr="007F0849">
        <w:t xml:space="preserve">22 USC §211a </w:t>
      </w:r>
    </w:p>
    <w:p w14:paraId="1A774D83" w14:textId="2705FB3E" w:rsidR="00317FB0" w:rsidRPr="00647E92" w:rsidRDefault="00546B5C" w:rsidP="00647E92">
      <w:pPr>
        <w:ind w:left="2160"/>
        <w:contextualSpacing/>
      </w:pPr>
      <w:r w:rsidRPr="007F0849">
        <w:t>Civil Rights Act of 1866</w:t>
      </w:r>
      <w:r w:rsidR="009B49E7">
        <w:t xml:space="preserve"> </w:t>
      </w:r>
      <w:r w:rsidRPr="007F0849">
        <w:t>US constitution 14</w:t>
      </w:r>
      <w:r w:rsidRPr="007F0849">
        <w:rPr>
          <w:vertAlign w:val="superscript"/>
        </w:rPr>
        <w:t>th</w:t>
      </w:r>
      <w:r w:rsidRPr="007F0849">
        <w:t xml:space="preserve"> Amendment and Article I Sec 8 Cl 4.</w:t>
      </w:r>
    </w:p>
    <w:p w14:paraId="2AD80F18" w14:textId="62123779" w:rsidR="00621A4A" w:rsidRPr="007F0849" w:rsidRDefault="00621A4A" w:rsidP="00621A4A">
      <w:pPr>
        <w:pStyle w:val="ListParagraph"/>
        <w:ind w:left="1440"/>
        <w:jc w:val="center"/>
        <w:rPr>
          <w:b/>
          <w:u w:val="single"/>
        </w:rPr>
      </w:pPr>
      <w:r w:rsidRPr="007F0849">
        <w:rPr>
          <w:b/>
          <w:u w:val="single"/>
        </w:rPr>
        <w:t>VESTING  OF UNITED STATES CITIZENSHIP AUTOMATICALLY</w:t>
      </w:r>
    </w:p>
    <w:p w14:paraId="6FE71524" w14:textId="77777777" w:rsidR="00621A4A" w:rsidRPr="007F0849" w:rsidRDefault="00621A4A" w:rsidP="00621A4A">
      <w:pPr>
        <w:pStyle w:val="ListParagraph"/>
        <w:ind w:left="1440"/>
        <w:jc w:val="center"/>
      </w:pPr>
    </w:p>
    <w:p w14:paraId="7428800F" w14:textId="74008C14" w:rsidR="00EF7FCE" w:rsidRPr="007F0849" w:rsidRDefault="00342A49" w:rsidP="00621A4A">
      <w:pPr>
        <w:pStyle w:val="ListParagraph"/>
        <w:ind w:left="1440"/>
      </w:pPr>
      <w:r>
        <w:t>16</w:t>
      </w:r>
      <w:r>
        <w:tab/>
      </w:r>
      <w:r w:rsidR="00621A4A" w:rsidRPr="007F0849">
        <w:t>Background/History/14</w:t>
      </w:r>
      <w:r w:rsidR="00621A4A" w:rsidRPr="007F0849">
        <w:rPr>
          <w:vertAlign w:val="superscript"/>
        </w:rPr>
        <w:t>th</w:t>
      </w:r>
      <w:r w:rsidR="00621A4A" w:rsidRPr="007F0849">
        <w:t xml:space="preserve"> Amendment (generally)</w:t>
      </w:r>
    </w:p>
    <w:p w14:paraId="4E013EF4" w14:textId="24A2F433" w:rsidR="00342A49" w:rsidRPr="006E11ED" w:rsidRDefault="00D33A54" w:rsidP="00342A49">
      <w:pPr>
        <w:pStyle w:val="ListParagraph"/>
        <w:ind w:left="2160"/>
      </w:pPr>
      <w:r w:rsidRPr="007F0849">
        <w:rPr>
          <w:i/>
        </w:rPr>
        <w:t>Dred Scott v Sanford</w:t>
      </w:r>
      <w:r w:rsidRPr="006E11ED">
        <w:t>, 60 U.S.393</w:t>
      </w:r>
      <w:r w:rsidR="00AC4C4B" w:rsidRPr="006E11ED">
        <w:t xml:space="preserve"> </w:t>
      </w:r>
      <w:r w:rsidRPr="006E11ED">
        <w:t xml:space="preserve">(1857). </w:t>
      </w:r>
    </w:p>
    <w:p w14:paraId="2D4D0831" w14:textId="3743EC14" w:rsidR="00342A49" w:rsidRDefault="00D33A54" w:rsidP="00342A49">
      <w:pPr>
        <w:pStyle w:val="ListParagraph"/>
        <w:ind w:left="2160"/>
      </w:pPr>
      <w:r w:rsidRPr="00342A49">
        <w:rPr>
          <w:i/>
        </w:rPr>
        <w:t>Slaughter House Cases,</w:t>
      </w:r>
      <w:r w:rsidRPr="007F0849">
        <w:t xml:space="preserve"> 83 U</w:t>
      </w:r>
      <w:r w:rsidR="00AC4C4B">
        <w:t>.</w:t>
      </w:r>
      <w:r w:rsidRPr="007F0849">
        <w:t>S</w:t>
      </w:r>
      <w:r w:rsidR="00AC4C4B">
        <w:t>.</w:t>
      </w:r>
      <w:r w:rsidRPr="007F0849">
        <w:t>32 (1872)</w:t>
      </w:r>
      <w:r w:rsidR="00406C8C" w:rsidRPr="007F0849">
        <w:t>.</w:t>
      </w:r>
    </w:p>
    <w:p w14:paraId="2B570E67" w14:textId="1717733B" w:rsidR="00342A49" w:rsidRDefault="00406C8C" w:rsidP="00342A49">
      <w:pPr>
        <w:pStyle w:val="ListParagraph"/>
        <w:ind w:left="2160"/>
        <w:rPr>
          <w:i/>
        </w:rPr>
      </w:pPr>
      <w:r w:rsidRPr="00342A49">
        <w:rPr>
          <w:i/>
        </w:rPr>
        <w:t xml:space="preserve">Boyd v Nebraska, </w:t>
      </w:r>
      <w:r w:rsidRPr="006E11ED">
        <w:t>143 U.S.</w:t>
      </w:r>
      <w:r w:rsidR="00AC4C4B" w:rsidRPr="006E11ED">
        <w:t xml:space="preserve"> </w:t>
      </w:r>
      <w:r w:rsidRPr="006E11ED">
        <w:t>135(1892).</w:t>
      </w:r>
    </w:p>
    <w:p w14:paraId="0D86F476" w14:textId="04D29B4E" w:rsidR="00764238" w:rsidRPr="00AC4C4B" w:rsidRDefault="00764238" w:rsidP="00AC4C4B">
      <w:pPr>
        <w:jc w:val="center"/>
        <w:rPr>
          <w:b/>
          <w:i/>
        </w:rPr>
      </w:pPr>
      <w:r w:rsidRPr="00AC4C4B">
        <w:rPr>
          <w:b/>
        </w:rPr>
        <w:t>“Under the jurisdiction of”</w:t>
      </w:r>
    </w:p>
    <w:p w14:paraId="0C404DFD" w14:textId="3890CFD3" w:rsidR="00367E9F" w:rsidRPr="00AC4C4B" w:rsidRDefault="00367E9F" w:rsidP="00AC4C4B">
      <w:pPr>
        <w:ind w:left="1440" w:firstLine="720"/>
        <w:rPr>
          <w:i/>
        </w:rPr>
      </w:pPr>
      <w:r w:rsidRPr="00342A49">
        <w:rPr>
          <w:i/>
        </w:rPr>
        <w:t xml:space="preserve">Wong Kim Ark, 18 S.Ct. 456 (1898). </w:t>
      </w:r>
    </w:p>
    <w:p w14:paraId="5498698F" w14:textId="77777777" w:rsidR="00AC4C4B" w:rsidRDefault="00FC2F28" w:rsidP="00AC4C4B">
      <w:pPr>
        <w:ind w:left="720" w:firstLine="720"/>
        <w:contextualSpacing/>
        <w:rPr>
          <w:i/>
        </w:rPr>
      </w:pPr>
      <w:r w:rsidRPr="007F0849">
        <w:t>18</w:t>
      </w:r>
      <w:r w:rsidR="00764238" w:rsidRPr="007F0849">
        <w:tab/>
      </w:r>
      <w:r w:rsidR="00764238" w:rsidRPr="00AC4C4B">
        <w:rPr>
          <w:i/>
        </w:rPr>
        <w:t>Matter of Cantu, 17 I&amp;N Dec. 190(BIA 1978).</w:t>
      </w:r>
    </w:p>
    <w:p w14:paraId="6CC60F84" w14:textId="77777777" w:rsidR="00AC4C4B" w:rsidRDefault="00764238" w:rsidP="00AC4C4B">
      <w:pPr>
        <w:ind w:left="1440" w:firstLine="720"/>
        <w:contextualSpacing/>
        <w:rPr>
          <w:i/>
        </w:rPr>
      </w:pPr>
      <w:r w:rsidRPr="00AC4C4B">
        <w:rPr>
          <w:i/>
        </w:rPr>
        <w:t>US v Rice, 17 U.S. 246 (1819).</w:t>
      </w:r>
    </w:p>
    <w:p w14:paraId="6F764B62" w14:textId="77777777" w:rsidR="00AC4C4B" w:rsidRDefault="00764238" w:rsidP="00AC4C4B">
      <w:pPr>
        <w:ind w:left="1440" w:firstLine="720"/>
        <w:contextualSpacing/>
        <w:rPr>
          <w:i/>
        </w:rPr>
      </w:pPr>
      <w:r w:rsidRPr="00AC4C4B">
        <w:rPr>
          <w:i/>
        </w:rPr>
        <w:t xml:space="preserve">In Re Baiz, 135 U.S. 403 (1890). </w:t>
      </w:r>
    </w:p>
    <w:p w14:paraId="67BF2F46" w14:textId="77777777" w:rsidR="00AC4C4B" w:rsidRPr="00AC4C4B" w:rsidRDefault="00AC4C4B" w:rsidP="00AC4C4B">
      <w:pPr>
        <w:ind w:left="1440" w:firstLine="720"/>
        <w:contextualSpacing/>
        <w:rPr>
          <w:b/>
        </w:rPr>
      </w:pPr>
    </w:p>
    <w:p w14:paraId="6EBBE091" w14:textId="5C242EF6" w:rsidR="00616740" w:rsidRPr="00AC4C4B" w:rsidRDefault="00616740" w:rsidP="00AC4C4B">
      <w:pPr>
        <w:ind w:left="1440" w:firstLine="720"/>
        <w:contextualSpacing/>
        <w:rPr>
          <w:b/>
        </w:rPr>
      </w:pPr>
      <w:r w:rsidRPr="00AC4C4B">
        <w:rPr>
          <w:b/>
        </w:rPr>
        <w:t>Native Americans</w:t>
      </w:r>
    </w:p>
    <w:p w14:paraId="714B2FB6" w14:textId="77777777" w:rsidR="00AC4C4B" w:rsidRDefault="009641A9" w:rsidP="00AC4C4B">
      <w:pPr>
        <w:ind w:left="1440" w:firstLine="720"/>
        <w:contextualSpacing/>
      </w:pPr>
      <w:r w:rsidRPr="00AC4C4B">
        <w:rPr>
          <w:i/>
        </w:rPr>
        <w:t xml:space="preserve">Elk </w:t>
      </w:r>
      <w:r w:rsidR="00C66D5C" w:rsidRPr="00AC4C4B">
        <w:rPr>
          <w:i/>
        </w:rPr>
        <w:t>v.</w:t>
      </w:r>
      <w:r w:rsidRPr="00AC4C4B">
        <w:rPr>
          <w:i/>
        </w:rPr>
        <w:t xml:space="preserve"> Wilkins,</w:t>
      </w:r>
      <w:r w:rsidRPr="007F0849">
        <w:t xml:space="preserve"> 5 S.Ct. 41 (1884).</w:t>
      </w:r>
    </w:p>
    <w:p w14:paraId="1B30C77E" w14:textId="1DB2D968" w:rsidR="00616740" w:rsidRPr="007F0849" w:rsidRDefault="009641A9" w:rsidP="00AC4C4B">
      <w:pPr>
        <w:ind w:left="1440" w:firstLine="720"/>
        <w:contextualSpacing/>
      </w:pPr>
      <w:r w:rsidRPr="00AC4C4B">
        <w:rPr>
          <w:i/>
        </w:rPr>
        <w:t>Morrison v People of the State of California,</w:t>
      </w:r>
      <w:r w:rsidRPr="007F0849">
        <w:t xml:space="preserve"> 291 U.S. 82 (1934).</w:t>
      </w:r>
    </w:p>
    <w:p w14:paraId="52072E90" w14:textId="77777777" w:rsidR="00AC4C4B" w:rsidRDefault="00616740" w:rsidP="00AC4C4B">
      <w:pPr>
        <w:ind w:left="1440" w:firstLine="720"/>
      </w:pPr>
      <w:r w:rsidRPr="007F0849">
        <w:t>INA§301(b).</w:t>
      </w:r>
    </w:p>
    <w:p w14:paraId="5B26670D" w14:textId="77777777" w:rsidR="00AC4C4B" w:rsidRPr="00AC4C4B" w:rsidRDefault="00FC2F28" w:rsidP="00AC4C4B">
      <w:pPr>
        <w:ind w:left="1440" w:firstLine="720"/>
        <w:rPr>
          <w:b/>
        </w:rPr>
      </w:pPr>
      <w:r w:rsidRPr="00AC4C4B">
        <w:rPr>
          <w:b/>
        </w:rPr>
        <w:t>Diplomats</w:t>
      </w:r>
    </w:p>
    <w:p w14:paraId="508A4766" w14:textId="5E48D474" w:rsidR="00AC4C4B" w:rsidRDefault="005E58C1" w:rsidP="00AC4C4B">
      <w:pPr>
        <w:ind w:left="1440" w:firstLine="720"/>
        <w:contextualSpacing/>
      </w:pPr>
      <w:r w:rsidRPr="00AC4C4B">
        <w:rPr>
          <w:i/>
        </w:rPr>
        <w:t>In re Thenault, 47 F. Supp 952 (D.D.C. 1942)</w:t>
      </w:r>
      <w:r w:rsidR="006E11ED">
        <w:rPr>
          <w:i/>
        </w:rPr>
        <w:t>.</w:t>
      </w:r>
    </w:p>
    <w:p w14:paraId="651F1AB7" w14:textId="1929CA9E" w:rsidR="009641A9" w:rsidRPr="00AC4C4B" w:rsidRDefault="00FC2F28" w:rsidP="00AC4C4B">
      <w:pPr>
        <w:ind w:left="1440" w:firstLine="720"/>
        <w:contextualSpacing/>
      </w:pPr>
      <w:r w:rsidRPr="00AC4C4B">
        <w:rPr>
          <w:i/>
        </w:rPr>
        <w:t>Raya v Clinton, 703 F. Supp 569 (W.D. VA. 2010)</w:t>
      </w:r>
      <w:r w:rsidR="006E11ED">
        <w:rPr>
          <w:i/>
        </w:rPr>
        <w:t>.</w:t>
      </w:r>
    </w:p>
    <w:p w14:paraId="01F77770" w14:textId="310575BC" w:rsidR="00DE2EB3" w:rsidRPr="006E11ED" w:rsidRDefault="00DE2EB3" w:rsidP="006E11ED">
      <w:pPr>
        <w:rPr>
          <w:i/>
        </w:rPr>
      </w:pPr>
    </w:p>
    <w:p w14:paraId="50C5A773" w14:textId="57DD9B73" w:rsidR="00EF7FCE" w:rsidRPr="007F0849" w:rsidRDefault="00764238" w:rsidP="00AC4C4B">
      <w:pPr>
        <w:jc w:val="center"/>
        <w:rPr>
          <w:b/>
          <w:u w:val="single"/>
        </w:rPr>
      </w:pPr>
      <w:r w:rsidRPr="007F0849">
        <w:rPr>
          <w:b/>
          <w:u w:val="single"/>
        </w:rPr>
        <w:t>DEFINITION OF UNITED STATES</w:t>
      </w:r>
    </w:p>
    <w:p w14:paraId="29FC2B9E" w14:textId="77777777" w:rsidR="00AC4C4B" w:rsidRDefault="00FC2F28" w:rsidP="00AC4C4B">
      <w:pPr>
        <w:ind w:left="720" w:firstLine="720"/>
      </w:pPr>
      <w:r w:rsidRPr="007F0849">
        <w:t>23</w:t>
      </w:r>
      <w:r w:rsidR="00C1605A" w:rsidRPr="007F0849">
        <w:tab/>
      </w:r>
      <w:r w:rsidR="00621A4A" w:rsidRPr="007F0849">
        <w:t>Application to territories</w:t>
      </w:r>
      <w:r w:rsidR="009F1D99" w:rsidRPr="007F0849">
        <w:t>/Noncitizen nationals</w:t>
      </w:r>
    </w:p>
    <w:p w14:paraId="13C94F69" w14:textId="6B2949AC" w:rsidR="00D33A54" w:rsidRPr="007F0849" w:rsidRDefault="00D33A54" w:rsidP="00AC4C4B">
      <w:pPr>
        <w:ind w:left="1440" w:firstLine="720"/>
        <w:contextualSpacing/>
      </w:pPr>
      <w:r w:rsidRPr="00AC4C4B">
        <w:rPr>
          <w:i/>
        </w:rPr>
        <w:t>Tuaua v. United States,</w:t>
      </w:r>
      <w:r w:rsidRPr="007F0849">
        <w:t xml:space="preserve"> 788 F.3d 300 (D.C. Cir. 2015).</w:t>
      </w:r>
    </w:p>
    <w:p w14:paraId="145A428E" w14:textId="32BCAAEA" w:rsidR="007566A9" w:rsidRPr="007F0849" w:rsidRDefault="007566A9" w:rsidP="00AC4C4B">
      <w:pPr>
        <w:ind w:left="1440" w:firstLine="720"/>
        <w:contextualSpacing/>
      </w:pPr>
      <w:r w:rsidRPr="007F0849">
        <w:t>INA§101(a)(38) United States</w:t>
      </w:r>
    </w:p>
    <w:p w14:paraId="7F49A91C" w14:textId="0623D5F2" w:rsidR="007566A9" w:rsidRPr="007F0849" w:rsidRDefault="007566A9" w:rsidP="00AC4C4B">
      <w:pPr>
        <w:ind w:left="1440" w:firstLine="720"/>
        <w:contextualSpacing/>
      </w:pPr>
      <w:r w:rsidRPr="007F0849">
        <w:t>INA§101(a)(36) State</w:t>
      </w:r>
    </w:p>
    <w:p w14:paraId="24EA21E3" w14:textId="510D5014" w:rsidR="00AC4C4B" w:rsidRDefault="007566A9" w:rsidP="00AC4C4B">
      <w:pPr>
        <w:ind w:left="1440" w:firstLine="720"/>
        <w:contextualSpacing/>
      </w:pPr>
      <w:r w:rsidRPr="007F0849">
        <w:lastRenderedPageBreak/>
        <w:t>INA§101(a)(29) Outlying possession of the United States</w:t>
      </w:r>
    </w:p>
    <w:p w14:paraId="06C5F5B2" w14:textId="77777777" w:rsidR="00AC4C4B" w:rsidRDefault="00AC4C4B" w:rsidP="00AC4C4B">
      <w:pPr>
        <w:ind w:left="1440" w:firstLine="720"/>
        <w:contextualSpacing/>
      </w:pPr>
    </w:p>
    <w:p w14:paraId="551A5DA9" w14:textId="7A603C08" w:rsidR="00406C8C" w:rsidRPr="007F0849" w:rsidRDefault="00AC4C4B" w:rsidP="00AC4C4B">
      <w:pPr>
        <w:ind w:left="720" w:firstLine="720"/>
        <w:contextualSpacing/>
      </w:pPr>
      <w:r>
        <w:t>25</w:t>
      </w:r>
      <w:r>
        <w:tab/>
      </w:r>
      <w:r w:rsidR="00621A4A" w:rsidRPr="007F0849">
        <w:t>Applicable to U.S. Vessels and other extensions of US</w:t>
      </w:r>
    </w:p>
    <w:p w14:paraId="3584C76B" w14:textId="77777777" w:rsidR="00AC4C4B" w:rsidRDefault="009641A9" w:rsidP="00AC4C4B">
      <w:pPr>
        <w:pStyle w:val="ListParagraph"/>
        <w:ind w:left="1440"/>
      </w:pPr>
      <w:r w:rsidRPr="007F0849">
        <w:tab/>
      </w:r>
      <w:r w:rsidRPr="007F0849">
        <w:rPr>
          <w:i/>
        </w:rPr>
        <w:t>Cunard S.S. Co. v. Mellon</w:t>
      </w:r>
      <w:r w:rsidRPr="007F0849">
        <w:t>, 262 U.S. 100 (1923).</w:t>
      </w:r>
    </w:p>
    <w:p w14:paraId="6BCD2CAB" w14:textId="2114C98C" w:rsidR="00406C8C" w:rsidRPr="00AC4C4B" w:rsidRDefault="00406C8C" w:rsidP="00AC4C4B">
      <w:pPr>
        <w:pStyle w:val="ListParagraph"/>
        <w:ind w:left="1440" w:firstLine="720"/>
      </w:pPr>
      <w:r w:rsidRPr="00AC4C4B">
        <w:rPr>
          <w:i/>
        </w:rPr>
        <w:t>Thomas v Lynch, 796 F.3d 535 (5</w:t>
      </w:r>
      <w:r w:rsidRPr="00AC4C4B">
        <w:rPr>
          <w:i/>
          <w:vertAlign w:val="superscript"/>
        </w:rPr>
        <w:t>th</w:t>
      </w:r>
      <w:r w:rsidRPr="00AC4C4B">
        <w:rPr>
          <w:i/>
        </w:rPr>
        <w:t xml:space="preserve"> Cir. 2015).</w:t>
      </w:r>
    </w:p>
    <w:p w14:paraId="0CBBBC80" w14:textId="283D6FA2" w:rsidR="00406C8C" w:rsidRPr="007F0849" w:rsidRDefault="00406C8C" w:rsidP="00406C8C">
      <w:pPr>
        <w:pStyle w:val="ListParagraph"/>
        <w:ind w:left="1440"/>
      </w:pPr>
      <w:r w:rsidRPr="007F0849">
        <w:tab/>
        <w:t>7 FAM 1113.1-4.</w:t>
      </w:r>
    </w:p>
    <w:p w14:paraId="41DDCA85" w14:textId="5E1525D4" w:rsidR="008D6718" w:rsidRPr="007F0849" w:rsidRDefault="008D6718" w:rsidP="00406C8C">
      <w:pPr>
        <w:pStyle w:val="ListParagraph"/>
        <w:ind w:left="1440"/>
      </w:pPr>
      <w:r w:rsidRPr="007F0849">
        <w:tab/>
        <w:t>7 FAM 1115</w:t>
      </w:r>
    </w:p>
    <w:p w14:paraId="1FC599AE" w14:textId="77777777" w:rsidR="00DE2EB3" w:rsidRPr="007F0849" w:rsidRDefault="00DE2EB3" w:rsidP="00406C8C">
      <w:pPr>
        <w:pStyle w:val="ListParagraph"/>
        <w:ind w:left="1440"/>
      </w:pPr>
    </w:p>
    <w:p w14:paraId="75A7D2E0" w14:textId="710F2D52" w:rsidR="00411C11" w:rsidRPr="007F0849" w:rsidRDefault="00FC2F28" w:rsidP="00B90D3A">
      <w:pPr>
        <w:pStyle w:val="ListParagraph"/>
        <w:ind w:left="1440"/>
        <w:rPr>
          <w:i/>
        </w:rPr>
      </w:pPr>
      <w:r w:rsidRPr="007F0849">
        <w:t>30</w:t>
      </w:r>
      <w:r w:rsidR="00C1605A" w:rsidRPr="007F0849">
        <w:tab/>
      </w:r>
      <w:r w:rsidR="00411C11" w:rsidRPr="007F0849">
        <w:t>INA §301</w:t>
      </w:r>
      <w:r w:rsidR="00411C11" w:rsidRPr="007F0849">
        <w:rPr>
          <w:i/>
        </w:rPr>
        <w:t xml:space="preserve"> </w:t>
      </w:r>
    </w:p>
    <w:p w14:paraId="33C3CCBC" w14:textId="134D54BF" w:rsidR="00C66D5C" w:rsidRDefault="00411C11" w:rsidP="00DE604E">
      <w:pPr>
        <w:ind w:left="1440" w:firstLine="720"/>
        <w:contextualSpacing/>
      </w:pPr>
      <w:r w:rsidRPr="00AC4C4B">
        <w:rPr>
          <w:i/>
        </w:rPr>
        <w:t>Marquez-Marquez v Gonzales,</w:t>
      </w:r>
      <w:r w:rsidRPr="007F0849">
        <w:t xml:space="preserve"> 455 F.3d 548 (5</w:t>
      </w:r>
      <w:r w:rsidRPr="00AC4C4B">
        <w:rPr>
          <w:vertAlign w:val="superscript"/>
        </w:rPr>
        <w:t>th</w:t>
      </w:r>
      <w:r w:rsidRPr="007F0849">
        <w:t xml:space="preserve"> Cir. 2006).</w:t>
      </w:r>
    </w:p>
    <w:p w14:paraId="18B8E4BA" w14:textId="347F1083" w:rsidR="00DE604E" w:rsidRDefault="00DE604E" w:rsidP="00DE604E">
      <w:pPr>
        <w:ind w:left="1440" w:firstLine="720"/>
        <w:contextualSpacing/>
        <w:rPr>
          <w:i/>
        </w:rPr>
      </w:pPr>
      <w:r w:rsidRPr="007F0849">
        <w:rPr>
          <w:i/>
        </w:rPr>
        <w:t>Roger v Bellei,, 401 U.S. 815 (1971).</w:t>
      </w:r>
    </w:p>
    <w:p w14:paraId="09A94690" w14:textId="702F8171" w:rsidR="00DE604E" w:rsidRPr="007F0849" w:rsidRDefault="00DE604E" w:rsidP="00DE604E">
      <w:pPr>
        <w:ind w:left="1440" w:firstLine="720"/>
        <w:contextualSpacing/>
      </w:pPr>
      <w:r>
        <w:t>Weedin v Chin Bow, 274 U.S. 657(1927).</w:t>
      </w:r>
    </w:p>
    <w:p w14:paraId="0E15ED8F" w14:textId="0F928B80" w:rsidR="00FC2F28" w:rsidRPr="007F0849" w:rsidRDefault="00FC2F28" w:rsidP="00AC4C4B">
      <w:r w:rsidRPr="007F0849">
        <w:t>February</w:t>
      </w:r>
      <w:r w:rsidR="00411C11" w:rsidRPr="007F0849">
        <w:tab/>
      </w:r>
      <w:r w:rsidR="00411C11" w:rsidRPr="007F0849">
        <w:tab/>
      </w:r>
      <w:r w:rsidR="00411C11" w:rsidRPr="007F0849">
        <w:tab/>
      </w:r>
    </w:p>
    <w:p w14:paraId="5DB411EE" w14:textId="77777777" w:rsidR="00FC2F28" w:rsidRPr="007F0849" w:rsidRDefault="00FC2F28" w:rsidP="00FC2F28">
      <w:pPr>
        <w:pStyle w:val="ListParagraph"/>
        <w:ind w:left="4320"/>
      </w:pPr>
    </w:p>
    <w:p w14:paraId="0DA0B962" w14:textId="0343D7EC" w:rsidR="00AC4C4B" w:rsidRDefault="00411C11" w:rsidP="00AC4C4B">
      <w:pPr>
        <w:pStyle w:val="ListParagraph"/>
        <w:numPr>
          <w:ilvl w:val="0"/>
          <w:numId w:val="11"/>
        </w:numPr>
      </w:pPr>
      <w:r w:rsidRPr="007F0849">
        <w:t>INA §309</w:t>
      </w:r>
    </w:p>
    <w:p w14:paraId="55A1A063" w14:textId="77777777" w:rsidR="00AC4C4B" w:rsidRDefault="00110B53" w:rsidP="00AC4C4B">
      <w:pPr>
        <w:pStyle w:val="ListParagraph"/>
        <w:ind w:left="2160"/>
      </w:pPr>
      <w:r w:rsidRPr="00AC4C4B">
        <w:rPr>
          <w:i/>
        </w:rPr>
        <w:t xml:space="preserve">Miller v Allbright, </w:t>
      </w:r>
      <w:r w:rsidRPr="007F0849">
        <w:t>523 U.S. 420 (1998).</w:t>
      </w:r>
    </w:p>
    <w:p w14:paraId="0379A8FD" w14:textId="77777777" w:rsidR="00AC4C4B" w:rsidRDefault="00411C11" w:rsidP="00AC4C4B">
      <w:pPr>
        <w:pStyle w:val="ListParagraph"/>
        <w:ind w:left="2160"/>
      </w:pPr>
      <w:r w:rsidRPr="007F0849">
        <w:rPr>
          <w:i/>
        </w:rPr>
        <w:t xml:space="preserve">Villegas-Sarabia v Sessions, </w:t>
      </w:r>
      <w:r w:rsidRPr="007F0849">
        <w:t>874 F.3d 871 (5</w:t>
      </w:r>
      <w:r w:rsidRPr="007F0849">
        <w:rPr>
          <w:vertAlign w:val="superscript"/>
        </w:rPr>
        <w:t>th</w:t>
      </w:r>
      <w:r w:rsidRPr="007F0849">
        <w:t xml:space="preserve"> Cir. 2017).</w:t>
      </w:r>
    </w:p>
    <w:p w14:paraId="6C1F2DBB" w14:textId="0F31C5B0" w:rsidR="006E628D" w:rsidRPr="00AC4C4B" w:rsidRDefault="00411C11" w:rsidP="00AC4C4B">
      <w:pPr>
        <w:pStyle w:val="ListParagraph"/>
        <w:ind w:left="2160"/>
      </w:pPr>
      <w:r w:rsidRPr="007F0849">
        <w:rPr>
          <w:i/>
        </w:rPr>
        <w:t>Sessions v. Morales-Santana, 137 S.Ct. 1678 (2017)</w:t>
      </w:r>
      <w:r w:rsidR="006E628D" w:rsidRPr="007F0849">
        <w:rPr>
          <w:i/>
        </w:rPr>
        <w:t>.</w:t>
      </w:r>
    </w:p>
    <w:p w14:paraId="36F2439D" w14:textId="77777777" w:rsidR="00AC4C4B" w:rsidRDefault="00EF7FCE" w:rsidP="00AC4C4B">
      <w:pPr>
        <w:pStyle w:val="NoSpacing"/>
        <w:ind w:left="720" w:firstLine="720"/>
      </w:pPr>
      <w:r w:rsidRPr="007F0849">
        <w:t>0</w:t>
      </w:r>
      <w:r w:rsidR="00FC2F28" w:rsidRPr="007F0849">
        <w:t>6</w:t>
      </w:r>
      <w:r w:rsidR="006E628D" w:rsidRPr="007F0849">
        <w:tab/>
        <w:t xml:space="preserve">INA§320 </w:t>
      </w:r>
    </w:p>
    <w:p w14:paraId="359BC7BA" w14:textId="56E554C7" w:rsidR="006E628D" w:rsidRPr="007F0849" w:rsidRDefault="006E628D" w:rsidP="00AC4C4B">
      <w:pPr>
        <w:pStyle w:val="NoSpacing"/>
        <w:ind w:left="1440" w:firstLine="720"/>
      </w:pPr>
      <w:r w:rsidRPr="007F0849">
        <w:rPr>
          <w:i/>
        </w:rPr>
        <w:t>Ali v Ashcroft</w:t>
      </w:r>
      <w:r w:rsidRPr="007F0849">
        <w:t>, 395 F.3d.722 (7</w:t>
      </w:r>
      <w:r w:rsidRPr="007F0849">
        <w:rPr>
          <w:vertAlign w:val="superscript"/>
        </w:rPr>
        <w:t>th</w:t>
      </w:r>
      <w:r w:rsidRPr="007F0849">
        <w:t xml:space="preserve"> Cir. 2005).     </w:t>
      </w:r>
    </w:p>
    <w:p w14:paraId="67CD863F" w14:textId="7D4AB201" w:rsidR="00B838FF" w:rsidRPr="007F0849" w:rsidRDefault="006E628D" w:rsidP="006E628D">
      <w:pPr>
        <w:pStyle w:val="NoSpacing"/>
        <w:ind w:left="3600" w:firstLine="720"/>
        <w:rPr>
          <w:i/>
        </w:rPr>
      </w:pPr>
      <w:r w:rsidRPr="007F0849">
        <w:t xml:space="preserve"> </w:t>
      </w:r>
    </w:p>
    <w:p w14:paraId="563DE8C5" w14:textId="77777777" w:rsidR="00AC4C4B" w:rsidRDefault="00AC4C4B" w:rsidP="00AC4C4B">
      <w:pPr>
        <w:contextualSpacing/>
      </w:pPr>
      <w:r>
        <w:tab/>
      </w:r>
      <w:r w:rsidR="00EF7FCE" w:rsidRPr="007F0849">
        <w:tab/>
        <w:t>0</w:t>
      </w:r>
      <w:r w:rsidR="00FC2F28" w:rsidRPr="007F0849">
        <w:t>8</w:t>
      </w:r>
      <w:r w:rsidR="00FC2F28" w:rsidRPr="007F0849">
        <w:tab/>
      </w:r>
      <w:r w:rsidR="006E628D" w:rsidRPr="007F0849">
        <w:t>INA§321</w:t>
      </w:r>
    </w:p>
    <w:p w14:paraId="6E3E32F2" w14:textId="77777777" w:rsidR="00B626CA" w:rsidRDefault="00110B53" w:rsidP="00B626CA">
      <w:pPr>
        <w:ind w:left="1440" w:firstLine="720"/>
        <w:contextualSpacing/>
      </w:pPr>
      <w:r w:rsidRPr="007F0849">
        <w:rPr>
          <w:i/>
        </w:rPr>
        <w:t>US v Juarez, 672 F.3d 381 (5</w:t>
      </w:r>
      <w:r w:rsidRPr="007F0849">
        <w:rPr>
          <w:i/>
          <w:vertAlign w:val="superscript"/>
        </w:rPr>
        <w:t>th</w:t>
      </w:r>
      <w:r w:rsidRPr="007F0849">
        <w:rPr>
          <w:i/>
        </w:rPr>
        <w:t xml:space="preserve"> Cir. 2012).</w:t>
      </w:r>
    </w:p>
    <w:p w14:paraId="1B0101D0" w14:textId="77777777" w:rsidR="00B626CA" w:rsidRDefault="006E628D" w:rsidP="00B626CA">
      <w:pPr>
        <w:ind w:left="1440" w:firstLine="720"/>
        <w:contextualSpacing/>
      </w:pPr>
      <w:r w:rsidRPr="00AC4C4B">
        <w:rPr>
          <w:i/>
        </w:rPr>
        <w:t xml:space="preserve">Bustamante-Barrera v. Gonzales, </w:t>
      </w:r>
      <w:r w:rsidRPr="007F0849">
        <w:t>447 F.3d 388 (5</w:t>
      </w:r>
      <w:r w:rsidRPr="00AC4C4B">
        <w:rPr>
          <w:vertAlign w:val="superscript"/>
        </w:rPr>
        <w:t>th</w:t>
      </w:r>
      <w:r w:rsidRPr="007F0849">
        <w:t xml:space="preserve"> Cir. 2006).</w:t>
      </w:r>
    </w:p>
    <w:p w14:paraId="72D347DE" w14:textId="77777777" w:rsidR="00B626CA" w:rsidRDefault="006E628D" w:rsidP="00B626CA">
      <w:pPr>
        <w:ind w:left="1440" w:firstLine="720"/>
        <w:contextualSpacing/>
      </w:pPr>
      <w:r w:rsidRPr="00B626CA">
        <w:rPr>
          <w:i/>
        </w:rPr>
        <w:t>Kamara v Lynch,</w:t>
      </w:r>
      <w:r w:rsidR="005E58C1" w:rsidRPr="00B626CA">
        <w:rPr>
          <w:i/>
        </w:rPr>
        <w:t xml:space="preserve"> </w:t>
      </w:r>
      <w:r w:rsidR="005E58C1" w:rsidRPr="007F0849">
        <w:t>786 F.3d 420 (5</w:t>
      </w:r>
      <w:r w:rsidR="005E58C1" w:rsidRPr="00B626CA">
        <w:rPr>
          <w:vertAlign w:val="superscript"/>
        </w:rPr>
        <w:t>th</w:t>
      </w:r>
      <w:r w:rsidR="005E58C1" w:rsidRPr="007F0849">
        <w:t xml:space="preserve"> Cir. 2015).</w:t>
      </w:r>
      <w:r w:rsidRPr="007F0849">
        <w:t xml:space="preserve"> </w:t>
      </w:r>
    </w:p>
    <w:p w14:paraId="009977A8" w14:textId="4CD21672" w:rsidR="00B626CA" w:rsidRDefault="005E58C1" w:rsidP="00B626CA">
      <w:pPr>
        <w:ind w:left="1440" w:firstLine="720"/>
        <w:contextualSpacing/>
      </w:pPr>
      <w:r w:rsidRPr="00B626CA">
        <w:rPr>
          <w:i/>
        </w:rPr>
        <w:t>Nehme v INS, 252 F.3d 415 (</w:t>
      </w:r>
      <w:r w:rsidR="006E11ED">
        <w:rPr>
          <w:i/>
        </w:rPr>
        <w:t>5</w:t>
      </w:r>
      <w:r w:rsidR="006E11ED" w:rsidRPr="006E11ED">
        <w:rPr>
          <w:i/>
          <w:vertAlign w:val="superscript"/>
        </w:rPr>
        <w:t>th</w:t>
      </w:r>
      <w:r w:rsidR="006E11ED">
        <w:rPr>
          <w:i/>
        </w:rPr>
        <w:t xml:space="preserve"> Cir. </w:t>
      </w:r>
      <w:r w:rsidRPr="00B626CA">
        <w:rPr>
          <w:i/>
        </w:rPr>
        <w:t>2001).</w:t>
      </w:r>
    </w:p>
    <w:p w14:paraId="119CA67B" w14:textId="32D867CB" w:rsidR="005E58C1" w:rsidRDefault="001E324C" w:rsidP="006E11ED">
      <w:pPr>
        <w:ind w:left="1440" w:firstLine="720"/>
        <w:contextualSpacing/>
        <w:rPr>
          <w:i/>
        </w:rPr>
      </w:pPr>
      <w:r>
        <w:rPr>
          <w:i/>
        </w:rPr>
        <w:t xml:space="preserve">Matter of </w:t>
      </w:r>
      <w:r w:rsidR="005E58C1" w:rsidRPr="00B626CA">
        <w:rPr>
          <w:i/>
        </w:rPr>
        <w:t>Guzman</w:t>
      </w:r>
      <w:r w:rsidR="00B23A7A">
        <w:rPr>
          <w:i/>
        </w:rPr>
        <w:t>-</w:t>
      </w:r>
      <w:r w:rsidR="005E58C1" w:rsidRPr="00B626CA">
        <w:rPr>
          <w:i/>
        </w:rPr>
        <w:t>Gomez, 24 I &amp; N Dec. 824 (BIA 2009).</w:t>
      </w:r>
    </w:p>
    <w:p w14:paraId="3312A5DF" w14:textId="77777777" w:rsidR="00180C35" w:rsidRDefault="00180C35" w:rsidP="006E11ED">
      <w:pPr>
        <w:ind w:left="1440" w:firstLine="720"/>
        <w:contextualSpacing/>
      </w:pPr>
    </w:p>
    <w:p w14:paraId="5E0640F1" w14:textId="49E5537B" w:rsidR="00EF7FCE" w:rsidRPr="007F0849" w:rsidRDefault="00B626CA" w:rsidP="006E11ED">
      <w:pPr>
        <w:contextualSpacing/>
      </w:pPr>
      <w:r>
        <w:tab/>
      </w:r>
      <w:r w:rsidR="00EF7FCE" w:rsidRPr="007F0849">
        <w:tab/>
      </w:r>
      <w:r w:rsidR="00FC2F28" w:rsidRPr="007F0849">
        <w:t>13</w:t>
      </w:r>
      <w:r w:rsidR="006E628D" w:rsidRPr="007F0849">
        <w:tab/>
        <w:t>INA§322</w:t>
      </w:r>
    </w:p>
    <w:p w14:paraId="2B9880C2" w14:textId="53C9F14C" w:rsidR="00B626CA" w:rsidRDefault="00B03A56" w:rsidP="006E11ED">
      <w:pPr>
        <w:ind w:left="1440" w:firstLine="720"/>
        <w:contextualSpacing/>
        <w:rPr>
          <w:i/>
        </w:rPr>
      </w:pPr>
      <w:r w:rsidRPr="00B626CA">
        <w:rPr>
          <w:i/>
        </w:rPr>
        <w:t>Ortega Morales v Lynch, 168 F. Supp 1228 (</w:t>
      </w:r>
      <w:r w:rsidR="00B626CA">
        <w:rPr>
          <w:i/>
        </w:rPr>
        <w:t>D</w:t>
      </w:r>
      <w:r w:rsidRPr="00B626CA">
        <w:rPr>
          <w:i/>
        </w:rPr>
        <w:t>.A.Z</w:t>
      </w:r>
      <w:r w:rsidR="00B626CA">
        <w:rPr>
          <w:i/>
        </w:rPr>
        <w:t>.</w:t>
      </w:r>
      <w:r w:rsidRPr="00B626CA">
        <w:rPr>
          <w:i/>
        </w:rPr>
        <w:t>2016).</w:t>
      </w:r>
    </w:p>
    <w:p w14:paraId="053AC8A7" w14:textId="77777777" w:rsidR="006E11ED" w:rsidRDefault="006E11ED" w:rsidP="006E11ED">
      <w:pPr>
        <w:ind w:left="1440" w:firstLine="720"/>
        <w:contextualSpacing/>
        <w:rPr>
          <w:i/>
        </w:rPr>
      </w:pPr>
    </w:p>
    <w:p w14:paraId="26B69F37" w14:textId="77777777" w:rsidR="00B626CA" w:rsidRDefault="00B626CA" w:rsidP="00B626CA">
      <w:pPr>
        <w:ind w:left="720" w:firstLine="720"/>
        <w:contextualSpacing/>
        <w:rPr>
          <w:i/>
        </w:rPr>
      </w:pPr>
      <w:r>
        <w:t>15</w:t>
      </w:r>
      <w:r>
        <w:tab/>
      </w:r>
      <w:r w:rsidR="00D52188" w:rsidRPr="007F0849">
        <w:t>INA § 322 Grandparents provision</w:t>
      </w:r>
    </w:p>
    <w:p w14:paraId="1FFEA9DE" w14:textId="64E41190" w:rsidR="00B626CA" w:rsidRDefault="0025196D" w:rsidP="00B626CA">
      <w:pPr>
        <w:tabs>
          <w:tab w:val="left" w:pos="7755"/>
        </w:tabs>
        <w:ind w:left="1440" w:firstLine="720"/>
        <w:contextualSpacing/>
        <w:rPr>
          <w:rStyle w:val="Hyperlink"/>
          <w:color w:val="auto"/>
          <w:u w:val="none"/>
        </w:rPr>
      </w:pPr>
      <w:hyperlink r:id="rId8" w:history="1">
        <w:r w:rsidR="00D52188" w:rsidRPr="007F0849">
          <w:rPr>
            <w:rStyle w:val="Hyperlink"/>
            <w:i/>
            <w:color w:val="auto"/>
            <w:u w:val="none"/>
          </w:rPr>
          <w:t>U.S. v. Flores-Villar,</w:t>
        </w:r>
        <w:r w:rsidR="00D52188" w:rsidRPr="007F0849">
          <w:rPr>
            <w:rStyle w:val="Hyperlink"/>
            <w:color w:val="auto"/>
            <w:u w:val="none"/>
          </w:rPr>
          <w:t xml:space="preserve"> </w:t>
        </w:r>
      </w:hyperlink>
      <w:r w:rsidR="00D52188" w:rsidRPr="007F0849">
        <w:rPr>
          <w:rStyle w:val="Hyperlink"/>
          <w:color w:val="auto"/>
          <w:u w:val="none"/>
        </w:rPr>
        <w:t>536 F. 3d 990 (9</w:t>
      </w:r>
      <w:r w:rsidR="00D52188" w:rsidRPr="007F0849">
        <w:rPr>
          <w:rStyle w:val="Hyperlink"/>
          <w:color w:val="auto"/>
          <w:u w:val="none"/>
          <w:vertAlign w:val="superscript"/>
        </w:rPr>
        <w:t>th</w:t>
      </w:r>
      <w:r w:rsidR="00D52188" w:rsidRPr="007F0849">
        <w:rPr>
          <w:rStyle w:val="Hyperlink"/>
          <w:color w:val="auto"/>
          <w:u w:val="none"/>
        </w:rPr>
        <w:t xml:space="preserve"> Cir. 2008).</w:t>
      </w:r>
      <w:r w:rsidR="00B626CA">
        <w:rPr>
          <w:rStyle w:val="Hyperlink"/>
          <w:color w:val="auto"/>
          <w:u w:val="none"/>
        </w:rPr>
        <w:tab/>
      </w:r>
    </w:p>
    <w:p w14:paraId="6E6DF10B" w14:textId="77777777" w:rsidR="00B626CA" w:rsidRDefault="00B626CA" w:rsidP="00B626CA">
      <w:pPr>
        <w:tabs>
          <w:tab w:val="left" w:pos="7755"/>
        </w:tabs>
        <w:ind w:left="1440" w:firstLine="720"/>
        <w:contextualSpacing/>
        <w:rPr>
          <w:i/>
        </w:rPr>
      </w:pPr>
    </w:p>
    <w:p w14:paraId="6899B498" w14:textId="6B9E4C0D" w:rsidR="00C2210C" w:rsidRPr="00B626CA" w:rsidRDefault="00B626CA" w:rsidP="00B626CA">
      <w:pPr>
        <w:ind w:left="720" w:firstLine="720"/>
        <w:contextualSpacing/>
        <w:rPr>
          <w:i/>
        </w:rPr>
      </w:pPr>
      <w:r>
        <w:t>20</w:t>
      </w:r>
      <w:r>
        <w:tab/>
      </w:r>
      <w:r w:rsidR="00B03A56" w:rsidRPr="007F0849">
        <w:t>Naturalization Requirements/Eligibility</w:t>
      </w:r>
      <w:r w:rsidR="00C2210C" w:rsidRPr="00B626CA">
        <w:rPr>
          <w:b/>
        </w:rPr>
        <w:t xml:space="preserve"> </w:t>
      </w:r>
    </w:p>
    <w:p w14:paraId="52CA04B8" w14:textId="77777777" w:rsidR="00B626CA" w:rsidRDefault="00C2210C" w:rsidP="00B626CA">
      <w:pPr>
        <w:ind w:left="1440" w:firstLine="720"/>
        <w:contextualSpacing/>
      </w:pPr>
      <w:r w:rsidRPr="00B626CA">
        <w:t xml:space="preserve">INA § 310 et seq, </w:t>
      </w:r>
    </w:p>
    <w:p w14:paraId="75CC3A76" w14:textId="0FFA4DA6" w:rsidR="00C2210C" w:rsidRPr="007F0849" w:rsidRDefault="00C2210C" w:rsidP="00AD31D5">
      <w:pPr>
        <w:ind w:left="1440" w:firstLine="720"/>
        <w:contextualSpacing/>
      </w:pPr>
      <w:r w:rsidRPr="00B626CA">
        <w:t>INA§312</w:t>
      </w:r>
      <w:r w:rsidR="008D611E" w:rsidRPr="00B626CA">
        <w:t xml:space="preserve"> </w:t>
      </w:r>
      <w:r w:rsidRPr="00B626CA">
        <w:t>Understanding the English language</w:t>
      </w:r>
    </w:p>
    <w:p w14:paraId="75A1791B" w14:textId="77777777" w:rsidR="00B626CA" w:rsidRDefault="00B03A56" w:rsidP="00B626CA">
      <w:pPr>
        <w:ind w:left="1440" w:firstLine="720"/>
        <w:contextualSpacing/>
      </w:pPr>
      <w:r w:rsidRPr="00B626CA">
        <w:rPr>
          <w:i/>
        </w:rPr>
        <w:t>Matter of Acosta-Hidalgo,</w:t>
      </w:r>
      <w:r w:rsidRPr="007F0849">
        <w:t xml:space="preserve"> 24 I&amp;N Dec.103 (BIA 2007).</w:t>
      </w:r>
    </w:p>
    <w:p w14:paraId="05680CBB" w14:textId="77777777" w:rsidR="00B626CA" w:rsidRDefault="00B03A56" w:rsidP="00B626CA">
      <w:pPr>
        <w:ind w:left="1440" w:firstLine="720"/>
        <w:contextualSpacing/>
      </w:pPr>
      <w:r w:rsidRPr="00B626CA">
        <w:rPr>
          <w:i/>
        </w:rPr>
        <w:t>Matter of Baires,</w:t>
      </w:r>
      <w:r w:rsidRPr="00C2210C">
        <w:t>24 I&amp;N Dec.467 (BIA 2008).</w:t>
      </w:r>
    </w:p>
    <w:p w14:paraId="6DDA019C" w14:textId="77777777" w:rsidR="00B626CA" w:rsidRDefault="00B03A56" w:rsidP="00B626CA">
      <w:pPr>
        <w:ind w:left="1440" w:firstLine="720"/>
        <w:contextualSpacing/>
      </w:pPr>
      <w:r w:rsidRPr="00B626CA">
        <w:rPr>
          <w:i/>
        </w:rPr>
        <w:t>Matter of Gonzales-Muro, 24 I&amp;N Dec. 472 (BIA 2008).</w:t>
      </w:r>
    </w:p>
    <w:p w14:paraId="45F0A70D" w14:textId="77777777" w:rsidR="00B626CA" w:rsidRDefault="00B03A56" w:rsidP="00B626CA">
      <w:pPr>
        <w:ind w:left="1440" w:firstLine="720"/>
        <w:contextualSpacing/>
      </w:pPr>
      <w:r w:rsidRPr="00B626CA">
        <w:rPr>
          <w:i/>
        </w:rPr>
        <w:t xml:space="preserve">Matter of Chawathe, </w:t>
      </w:r>
      <w:r w:rsidRPr="00C2210C">
        <w:t>25 I&amp;N Dec.369 (AAO 2010).</w:t>
      </w:r>
    </w:p>
    <w:p w14:paraId="1FE63B60" w14:textId="11174CF9" w:rsidR="00C2210C" w:rsidRPr="00C2210C" w:rsidRDefault="00C2210C" w:rsidP="00B626CA">
      <w:pPr>
        <w:ind w:left="1440" w:firstLine="720"/>
        <w:contextualSpacing/>
      </w:pPr>
      <w:r w:rsidRPr="00B626CA">
        <w:rPr>
          <w:i/>
        </w:rPr>
        <w:t>Matter of Longstaff,</w:t>
      </w:r>
      <w:r w:rsidRPr="00B626CA">
        <w:rPr>
          <w:b/>
          <w:i/>
        </w:rPr>
        <w:t xml:space="preserve"> </w:t>
      </w:r>
      <w:r w:rsidRPr="00C2210C">
        <w:t>716 F.2d 1439 (1983).</w:t>
      </w:r>
    </w:p>
    <w:p w14:paraId="18EF7238" w14:textId="77777777" w:rsidR="00B626CA" w:rsidRDefault="00B626CA" w:rsidP="003431C2">
      <w:pPr>
        <w:contextualSpacing/>
        <w:rPr>
          <w:i/>
        </w:rPr>
      </w:pPr>
    </w:p>
    <w:p w14:paraId="470C287C" w14:textId="77777777" w:rsidR="003431C2" w:rsidRDefault="00B626CA" w:rsidP="003431C2">
      <w:pPr>
        <w:ind w:left="720" w:firstLine="720"/>
        <w:contextualSpacing/>
      </w:pPr>
      <w:r>
        <w:t>22</w:t>
      </w:r>
      <w:r>
        <w:tab/>
      </w:r>
      <w:r w:rsidR="00B03A56" w:rsidRPr="007F0849">
        <w:t>Good Moral Character</w:t>
      </w:r>
    </w:p>
    <w:p w14:paraId="141E32C3" w14:textId="6EA01B65" w:rsidR="00B626CA" w:rsidRDefault="00C2210C" w:rsidP="003431C2">
      <w:pPr>
        <w:ind w:left="1440" w:firstLine="720"/>
        <w:contextualSpacing/>
      </w:pPr>
      <w:r w:rsidRPr="00B626CA">
        <w:rPr>
          <w:b/>
        </w:rPr>
        <w:lastRenderedPageBreak/>
        <w:t xml:space="preserve"> </w:t>
      </w:r>
      <w:r w:rsidR="00EF050E">
        <w:rPr>
          <w:b/>
        </w:rPr>
        <w:t xml:space="preserve"> </w:t>
      </w:r>
      <w:r w:rsidRPr="00B626CA">
        <w:t>INA 101(f); 8 CFR §316.10</w:t>
      </w:r>
    </w:p>
    <w:p w14:paraId="29748896" w14:textId="4D81112D" w:rsidR="00B626CA" w:rsidRDefault="00EF050E" w:rsidP="003431C2">
      <w:pPr>
        <w:ind w:left="1440" w:firstLine="720"/>
        <w:contextualSpacing/>
        <w:rPr>
          <w:i/>
        </w:rPr>
      </w:pPr>
      <w:r>
        <w:rPr>
          <w:i/>
        </w:rPr>
        <w:t xml:space="preserve"> </w:t>
      </w:r>
      <w:r w:rsidR="00B03A56" w:rsidRPr="00B626CA">
        <w:rPr>
          <w:i/>
        </w:rPr>
        <w:t>Gatcliffe v Reno, 23 F. Supp (D.V.I. 1998).</w:t>
      </w:r>
    </w:p>
    <w:p w14:paraId="7FC59BAD" w14:textId="2A75CDC5" w:rsidR="00B626CA" w:rsidRPr="009D2771" w:rsidRDefault="00C2210C" w:rsidP="00B626CA">
      <w:pPr>
        <w:ind w:left="1440" w:firstLine="720"/>
        <w:contextualSpacing/>
        <w:rPr>
          <w:i/>
        </w:rPr>
      </w:pPr>
      <w:r w:rsidRPr="00B626CA">
        <w:rPr>
          <w:b/>
        </w:rPr>
        <w:t xml:space="preserve"> </w:t>
      </w:r>
      <w:r w:rsidR="009D2771" w:rsidRPr="009D2771">
        <w:rPr>
          <w:i/>
        </w:rPr>
        <w:t xml:space="preserve">United States v Lionel Jean Baptiste, </w:t>
      </w:r>
      <w:r w:rsidR="00C477A3">
        <w:rPr>
          <w:i/>
        </w:rPr>
        <w:t>395 F.3d 1190 (11</w:t>
      </w:r>
      <w:r w:rsidR="00C477A3" w:rsidRPr="00C477A3">
        <w:rPr>
          <w:i/>
          <w:vertAlign w:val="superscript"/>
        </w:rPr>
        <w:t>th</w:t>
      </w:r>
      <w:r w:rsidR="00C477A3">
        <w:rPr>
          <w:i/>
        </w:rPr>
        <w:t xml:space="preserve"> Cir.2000).</w:t>
      </w:r>
    </w:p>
    <w:p w14:paraId="19725828" w14:textId="77777777" w:rsidR="009D2771" w:rsidRDefault="009D2771" w:rsidP="00B626CA">
      <w:pPr>
        <w:ind w:left="1440" w:firstLine="720"/>
        <w:contextualSpacing/>
      </w:pPr>
    </w:p>
    <w:p w14:paraId="14C76E19" w14:textId="77777777" w:rsidR="00B626CA" w:rsidRDefault="00B626CA" w:rsidP="00B626CA">
      <w:pPr>
        <w:ind w:left="720" w:firstLine="720"/>
        <w:contextualSpacing/>
      </w:pPr>
      <w:r>
        <w:rPr>
          <w:i/>
        </w:rPr>
        <w:t>27</w:t>
      </w:r>
      <w:r>
        <w:rPr>
          <w:i/>
        </w:rPr>
        <w:tab/>
        <w:t>N</w:t>
      </w:r>
      <w:r w:rsidR="00C407FE" w:rsidRPr="00B626CA">
        <w:rPr>
          <w:i/>
        </w:rPr>
        <w:t>aturalization Procedure, Application, and Examinations</w:t>
      </w:r>
    </w:p>
    <w:p w14:paraId="0DB4A4CB" w14:textId="77777777" w:rsidR="00B626CA" w:rsidRDefault="00D52188" w:rsidP="00B626CA">
      <w:pPr>
        <w:ind w:left="1440" w:firstLine="720"/>
        <w:contextualSpacing/>
      </w:pPr>
      <w:r w:rsidRPr="007F0849">
        <w:t>INA §335; 8 CFR §335</w:t>
      </w:r>
      <w:r w:rsidR="00C2210C">
        <w:t xml:space="preserve"> </w:t>
      </w:r>
    </w:p>
    <w:p w14:paraId="3BD06976" w14:textId="50B36849" w:rsidR="00C2210C" w:rsidRPr="00C2210C" w:rsidRDefault="00C2210C" w:rsidP="00B626CA">
      <w:pPr>
        <w:ind w:left="1440" w:firstLine="720"/>
        <w:contextualSpacing/>
      </w:pPr>
      <w:r w:rsidRPr="00C2210C">
        <w:t>INA</w:t>
      </w:r>
      <w:r>
        <w:t>§336</w:t>
      </w:r>
    </w:p>
    <w:p w14:paraId="1DDE2229" w14:textId="0AFF1072" w:rsidR="00EF7FCE" w:rsidRPr="007F0849" w:rsidRDefault="003431C2" w:rsidP="003431C2">
      <w:r>
        <w:tab/>
      </w:r>
      <w:r>
        <w:tab/>
      </w:r>
      <w:r w:rsidR="00AD31D5">
        <w:tab/>
        <w:t>USCIS Forms N-400; 470; N-600</w:t>
      </w:r>
    </w:p>
    <w:p w14:paraId="4B737F63" w14:textId="639C6115" w:rsidR="00FC2F28" w:rsidRPr="007F0849" w:rsidRDefault="00FC2F28" w:rsidP="00B626CA">
      <w:r w:rsidRPr="007F0849">
        <w:t>MARCH</w:t>
      </w:r>
    </w:p>
    <w:p w14:paraId="6C258FEE" w14:textId="14B7ADB0" w:rsidR="003431C2" w:rsidRDefault="00C407FE" w:rsidP="003431C2">
      <w:pPr>
        <w:pStyle w:val="ListParagraph"/>
        <w:numPr>
          <w:ilvl w:val="0"/>
          <w:numId w:val="12"/>
        </w:numPr>
      </w:pPr>
      <w:r w:rsidRPr="007F0849">
        <w:t>Little Used Provisions for naturalization</w:t>
      </w:r>
    </w:p>
    <w:p w14:paraId="1200316E" w14:textId="77777777" w:rsidR="003431C2" w:rsidRDefault="00C407FE" w:rsidP="003431C2">
      <w:pPr>
        <w:pStyle w:val="ListParagraph"/>
        <w:ind w:left="2160"/>
      </w:pPr>
      <w:r w:rsidRPr="007F0849">
        <w:t>Spouses, Battered Spouses and children, widows and widows of military veterans, News Media</w:t>
      </w:r>
    </w:p>
    <w:p w14:paraId="7509653E" w14:textId="77777777" w:rsidR="003431C2" w:rsidRDefault="00D52188" w:rsidP="003431C2">
      <w:pPr>
        <w:pStyle w:val="ListParagraph"/>
        <w:ind w:left="2160"/>
      </w:pPr>
      <w:r w:rsidRPr="007F0849">
        <w:t>INA §328</w:t>
      </w:r>
    </w:p>
    <w:p w14:paraId="6AB3B32E" w14:textId="4DBD5F9A" w:rsidR="00C2210C" w:rsidRPr="008D611E" w:rsidRDefault="00C2210C" w:rsidP="003431C2">
      <w:pPr>
        <w:pStyle w:val="ListParagraph"/>
        <w:ind w:left="2160"/>
      </w:pPr>
      <w:r w:rsidRPr="008D611E">
        <w:t>INA §319 a</w:t>
      </w:r>
      <w:r w:rsidR="00AD31D5">
        <w:t xml:space="preserve"> </w:t>
      </w:r>
      <w:r w:rsidRPr="008D611E">
        <w:t>&amp;b</w:t>
      </w:r>
    </w:p>
    <w:p w14:paraId="2049E6AC" w14:textId="77777777" w:rsidR="00FC2F28" w:rsidRPr="007F0849" w:rsidRDefault="00FC2F28" w:rsidP="00FC2F28">
      <w:pPr>
        <w:pStyle w:val="ListParagraph"/>
        <w:ind w:left="3600"/>
      </w:pPr>
    </w:p>
    <w:p w14:paraId="52CC2AFA" w14:textId="03F6C39B" w:rsidR="00EF7FCE" w:rsidRPr="00AD31D5" w:rsidRDefault="00EF7FCE" w:rsidP="00EF7FCE">
      <w:pPr>
        <w:pStyle w:val="ListParagraph"/>
        <w:ind w:left="1440"/>
      </w:pPr>
      <w:r w:rsidRPr="00AD31D5">
        <w:t>06</w:t>
      </w:r>
      <w:r w:rsidRPr="00AD31D5">
        <w:tab/>
        <w:t>MIDTERM WEEK</w:t>
      </w:r>
    </w:p>
    <w:p w14:paraId="7D999787" w14:textId="28A85C87" w:rsidR="00EF7FCE" w:rsidRPr="00AD31D5" w:rsidRDefault="00EF7FCE" w:rsidP="00EF7FCE">
      <w:pPr>
        <w:pStyle w:val="ListParagraph"/>
        <w:ind w:left="1440"/>
      </w:pPr>
      <w:r w:rsidRPr="00AD31D5">
        <w:t>08</w:t>
      </w:r>
      <w:r w:rsidRPr="00AD31D5">
        <w:tab/>
        <w:t>MIDTERM WEEK</w:t>
      </w:r>
    </w:p>
    <w:p w14:paraId="085706AA" w14:textId="504243D1" w:rsidR="00EF7FCE" w:rsidRPr="00AD31D5" w:rsidRDefault="00EF7FCE" w:rsidP="00EF7FCE">
      <w:pPr>
        <w:pStyle w:val="ListParagraph"/>
        <w:ind w:left="1440"/>
      </w:pPr>
      <w:r w:rsidRPr="00AD31D5">
        <w:t>13</w:t>
      </w:r>
      <w:r w:rsidRPr="00AD31D5">
        <w:tab/>
        <w:t>Spring Break</w:t>
      </w:r>
    </w:p>
    <w:p w14:paraId="0DA75B89" w14:textId="54135627" w:rsidR="00EF7FCE" w:rsidRPr="00AD31D5" w:rsidRDefault="00EF7FCE" w:rsidP="00EF7FCE">
      <w:pPr>
        <w:pStyle w:val="ListParagraph"/>
        <w:ind w:left="1440"/>
      </w:pPr>
      <w:r w:rsidRPr="00AD31D5">
        <w:t>15</w:t>
      </w:r>
      <w:r w:rsidRPr="00AD31D5">
        <w:tab/>
        <w:t>Spring Break</w:t>
      </w:r>
    </w:p>
    <w:p w14:paraId="18E7F1A3" w14:textId="77777777" w:rsidR="00C407FE" w:rsidRPr="007F0849" w:rsidRDefault="00C407FE" w:rsidP="00EF7FCE">
      <w:pPr>
        <w:pStyle w:val="ListParagraph"/>
        <w:ind w:left="1440"/>
        <w:rPr>
          <w:color w:val="FF0000"/>
        </w:rPr>
      </w:pPr>
    </w:p>
    <w:p w14:paraId="066856C5" w14:textId="0B92BAA8" w:rsidR="00C407FE" w:rsidRPr="007F0849" w:rsidRDefault="00EF7FCE" w:rsidP="00AD31D5">
      <w:pPr>
        <w:pStyle w:val="ListParagraph"/>
        <w:ind w:left="1440"/>
      </w:pPr>
      <w:r w:rsidRPr="007F0849">
        <w:t>20</w:t>
      </w:r>
      <w:r w:rsidR="00C407FE" w:rsidRPr="007F0849">
        <w:tab/>
        <w:t>Citizenship documentation</w:t>
      </w:r>
    </w:p>
    <w:p w14:paraId="6BD57325" w14:textId="77777777" w:rsidR="00C407FE" w:rsidRPr="007F0849" w:rsidRDefault="00C407FE" w:rsidP="00AD31D5">
      <w:pPr>
        <w:ind w:left="1440" w:firstLine="720"/>
        <w:contextualSpacing/>
      </w:pPr>
      <w:r w:rsidRPr="007F0849">
        <w:t>Passports Procedure</w:t>
      </w:r>
    </w:p>
    <w:p w14:paraId="76AF3964" w14:textId="77777777" w:rsidR="00C407FE" w:rsidRPr="007F0849" w:rsidRDefault="00C407FE" w:rsidP="00AD31D5">
      <w:pPr>
        <w:ind w:left="1440" w:firstLine="720"/>
        <w:contextualSpacing/>
      </w:pPr>
      <w:r w:rsidRPr="007F0849">
        <w:t>Consular record of birth</w:t>
      </w:r>
    </w:p>
    <w:p w14:paraId="3B39A159" w14:textId="77777777" w:rsidR="00C407FE" w:rsidRPr="007F0849" w:rsidRDefault="00C407FE" w:rsidP="00AD31D5">
      <w:pPr>
        <w:ind w:left="1440" w:firstLine="720"/>
        <w:contextualSpacing/>
      </w:pPr>
      <w:r w:rsidRPr="007F0849">
        <w:t>Certificate of citizenship</w:t>
      </w:r>
    </w:p>
    <w:p w14:paraId="0E53CCEC" w14:textId="545285A8" w:rsidR="00544EC6" w:rsidRDefault="00C407FE" w:rsidP="00AD31D5">
      <w:pPr>
        <w:ind w:left="1440" w:firstLine="720"/>
        <w:contextualSpacing/>
      </w:pPr>
      <w:r w:rsidRPr="007F0849">
        <w:t>Certificate of naturalization</w:t>
      </w:r>
      <w:r w:rsidR="00D52188" w:rsidRPr="007F0849">
        <w:t xml:space="preserve"> INA§328</w:t>
      </w:r>
    </w:p>
    <w:p w14:paraId="7CDE7098" w14:textId="77777777" w:rsidR="00AD31D5" w:rsidRPr="007F0849" w:rsidRDefault="00AD31D5" w:rsidP="00AD31D5">
      <w:pPr>
        <w:ind w:left="1440" w:firstLine="720"/>
        <w:contextualSpacing/>
      </w:pPr>
    </w:p>
    <w:p w14:paraId="0CE1CCF5" w14:textId="77777777" w:rsidR="00B626CA" w:rsidRDefault="00EF7FCE" w:rsidP="003431C2">
      <w:pPr>
        <w:ind w:left="720" w:firstLine="720"/>
        <w:contextualSpacing/>
      </w:pPr>
      <w:r w:rsidRPr="007F0849">
        <w:t>22</w:t>
      </w:r>
      <w:r w:rsidR="00C407FE" w:rsidRPr="007F0849">
        <w:tab/>
        <w:t>Revocation of citizenship</w:t>
      </w:r>
    </w:p>
    <w:p w14:paraId="72D97726" w14:textId="77777777" w:rsidR="00B626CA" w:rsidRDefault="00D52188" w:rsidP="003431C2">
      <w:pPr>
        <w:ind w:left="2160"/>
        <w:contextualSpacing/>
      </w:pPr>
      <w:r w:rsidRPr="007F0849">
        <w:t>INA§340</w:t>
      </w:r>
    </w:p>
    <w:p w14:paraId="76C55E76" w14:textId="102173C4" w:rsidR="003F1AF2" w:rsidRPr="00B626CA" w:rsidRDefault="00E37472" w:rsidP="003431C2">
      <w:pPr>
        <w:ind w:left="2160"/>
        <w:contextualSpacing/>
      </w:pPr>
      <w:r w:rsidRPr="007F0849">
        <w:rPr>
          <w:i/>
        </w:rPr>
        <w:t>Fedorenko v U</w:t>
      </w:r>
      <w:r w:rsidR="00B626CA">
        <w:rPr>
          <w:i/>
        </w:rPr>
        <w:t xml:space="preserve">nited </w:t>
      </w:r>
      <w:r w:rsidRPr="007F0849">
        <w:rPr>
          <w:i/>
        </w:rPr>
        <w:t>S</w:t>
      </w:r>
      <w:r w:rsidR="00B626CA">
        <w:rPr>
          <w:i/>
        </w:rPr>
        <w:t xml:space="preserve">tates. </w:t>
      </w:r>
      <w:r w:rsidRPr="00E37472">
        <w:rPr>
          <w:i/>
        </w:rPr>
        <w:t>449 U.S. 490 (1981).</w:t>
      </w:r>
    </w:p>
    <w:p w14:paraId="199C5143" w14:textId="77777777" w:rsidR="00AD31D5" w:rsidRDefault="00C407FE" w:rsidP="003431C2">
      <w:pPr>
        <w:ind w:left="1440" w:firstLine="720"/>
        <w:contextualSpacing/>
      </w:pPr>
      <w:r w:rsidRPr="007F0849">
        <w:t>Administrative Litigation</w:t>
      </w:r>
    </w:p>
    <w:p w14:paraId="57D5DA8D" w14:textId="77777777" w:rsidR="00AD31D5" w:rsidRDefault="00C407FE" w:rsidP="003431C2">
      <w:pPr>
        <w:ind w:left="1440" w:firstLine="720"/>
        <w:contextualSpacing/>
      </w:pPr>
      <w:r w:rsidRPr="007F0849">
        <w:t>Denaturalization</w:t>
      </w:r>
      <w:r w:rsidR="003F1AF2" w:rsidRPr="007F0849">
        <w:rPr>
          <w:i/>
        </w:rPr>
        <w:t xml:space="preserve"> </w:t>
      </w:r>
    </w:p>
    <w:p w14:paraId="5AE7F2AC" w14:textId="77777777" w:rsidR="00AD31D5" w:rsidRDefault="003F1AF2" w:rsidP="003431C2">
      <w:pPr>
        <w:ind w:left="1440" w:firstLine="720"/>
        <w:contextualSpacing/>
      </w:pPr>
      <w:r w:rsidRPr="007F0849">
        <w:rPr>
          <w:i/>
        </w:rPr>
        <w:t>Perez v Brownell,</w:t>
      </w:r>
      <w:r w:rsidRPr="007F0849">
        <w:t xml:space="preserve"> 356 U.S. 44 (1958).</w:t>
      </w:r>
    </w:p>
    <w:p w14:paraId="46C5CF1F" w14:textId="77777777" w:rsidR="00AD31D5" w:rsidRDefault="003F1AF2" w:rsidP="003431C2">
      <w:pPr>
        <w:ind w:left="1440" w:firstLine="720"/>
        <w:contextualSpacing/>
      </w:pPr>
      <w:r w:rsidRPr="007F0849">
        <w:rPr>
          <w:i/>
        </w:rPr>
        <w:t>Afroyim v Rusk, 387 U.S. 53 (1967).</w:t>
      </w:r>
    </w:p>
    <w:p w14:paraId="183105AB" w14:textId="0BAB42DE" w:rsidR="00AD31D5" w:rsidRDefault="00343D3D" w:rsidP="003431C2">
      <w:pPr>
        <w:ind w:left="1440" w:firstLine="720"/>
        <w:contextualSpacing/>
      </w:pPr>
      <w:r w:rsidRPr="007F0849">
        <w:rPr>
          <w:i/>
        </w:rPr>
        <w:t>Trop v Dulles</w:t>
      </w:r>
      <w:r w:rsidRPr="007F0849">
        <w:t xml:space="preserve">, </w:t>
      </w:r>
      <w:r w:rsidR="00927508" w:rsidRPr="007F0849">
        <w:t>356 U.S. 86 (1958).</w:t>
      </w:r>
    </w:p>
    <w:p w14:paraId="7AF2F4DD" w14:textId="77777777" w:rsidR="00E20A81" w:rsidRDefault="003F1AF2" w:rsidP="003431C2">
      <w:pPr>
        <w:ind w:left="1440" w:firstLine="720"/>
        <w:contextualSpacing/>
      </w:pPr>
      <w:r w:rsidRPr="007F0849">
        <w:rPr>
          <w:i/>
        </w:rPr>
        <w:t>U.S. v Terrazas, 570 F. Supp.550 (S.D. N.Y. 2008).</w:t>
      </w:r>
      <w:r w:rsidR="00E37472">
        <w:tab/>
      </w:r>
    </w:p>
    <w:p w14:paraId="7F2FE0EF" w14:textId="6BF5755B" w:rsidR="00AB317B" w:rsidRDefault="00AB317B" w:rsidP="003431C2">
      <w:pPr>
        <w:ind w:left="1440" w:firstLine="720"/>
        <w:contextualSpacing/>
      </w:pPr>
      <w:r w:rsidRPr="00AB317B">
        <w:rPr>
          <w:i/>
        </w:rPr>
        <w:t>Schneiderman v United States,</w:t>
      </w:r>
      <w:r>
        <w:t xml:space="preserve"> 320 U.S. 118 (1943).</w:t>
      </w:r>
    </w:p>
    <w:p w14:paraId="42A41460" w14:textId="3EB4E340" w:rsidR="00AB317B" w:rsidRDefault="00AB317B" w:rsidP="003431C2">
      <w:pPr>
        <w:ind w:left="1440" w:firstLine="720"/>
        <w:contextualSpacing/>
      </w:pPr>
      <w:r>
        <w:rPr>
          <w:i/>
        </w:rPr>
        <w:t>Mackenzie v. Hare, 36 S.Ct.</w:t>
      </w:r>
      <w:r w:rsidR="00487256">
        <w:rPr>
          <w:i/>
        </w:rPr>
        <w:t>106 (1915).</w:t>
      </w:r>
    </w:p>
    <w:p w14:paraId="50403350" w14:textId="44D6CAD3" w:rsidR="00AD31D5" w:rsidRDefault="00E37472" w:rsidP="003431C2">
      <w:pPr>
        <w:ind w:left="1440" w:firstLine="720"/>
        <w:contextualSpacing/>
      </w:pPr>
      <w:r>
        <w:tab/>
      </w:r>
    </w:p>
    <w:p w14:paraId="027F89F6" w14:textId="42DCEF0C" w:rsidR="00AD31D5" w:rsidRDefault="00AD31D5" w:rsidP="00AD31D5">
      <w:pPr>
        <w:pStyle w:val="ListParagraph"/>
        <w:ind w:left="1440"/>
      </w:pPr>
      <w:r>
        <w:t xml:space="preserve">27 </w:t>
      </w:r>
      <w:r w:rsidR="00C407FE" w:rsidRPr="007F0849">
        <w:t xml:space="preserve"> </w:t>
      </w:r>
      <w:r w:rsidR="003431C2">
        <w:t xml:space="preserve">     </w:t>
      </w:r>
      <w:r w:rsidR="00C407FE" w:rsidRPr="007F0849">
        <w:t xml:space="preserve"> Federal Criminal Litigation</w:t>
      </w:r>
    </w:p>
    <w:p w14:paraId="30CB7694" w14:textId="3FCB4FD6" w:rsidR="00180C35" w:rsidRDefault="00180C35" w:rsidP="00AD31D5">
      <w:pPr>
        <w:pStyle w:val="ListParagraph"/>
        <w:ind w:left="1440"/>
      </w:pPr>
      <w:r>
        <w:tab/>
      </w:r>
      <w:r w:rsidRPr="00180C35">
        <w:rPr>
          <w:i/>
        </w:rPr>
        <w:t>US v Puerta,</w:t>
      </w:r>
      <w:r>
        <w:t xml:space="preserve"> 982 F.2d 1297 (1992).</w:t>
      </w:r>
    </w:p>
    <w:p w14:paraId="3B7E2548" w14:textId="0304683C" w:rsidR="00AD31D5" w:rsidRDefault="00AD31D5" w:rsidP="00AD31D5">
      <w:pPr>
        <w:pStyle w:val="ListParagraph"/>
        <w:ind w:left="1440"/>
        <w:rPr>
          <w:i/>
        </w:rPr>
      </w:pPr>
      <w:r>
        <w:rPr>
          <w:i/>
        </w:rPr>
        <w:t xml:space="preserve">       </w:t>
      </w:r>
      <w:r w:rsidR="003431C2">
        <w:rPr>
          <w:i/>
        </w:rPr>
        <w:tab/>
      </w:r>
      <w:r w:rsidR="003F1AF2" w:rsidRPr="00AD31D5">
        <w:rPr>
          <w:i/>
        </w:rPr>
        <w:t>Kungys v US, 485 U.S. 759 (1988).</w:t>
      </w:r>
    </w:p>
    <w:p w14:paraId="431D5D38" w14:textId="1C3D8412" w:rsidR="00AD31D5" w:rsidRDefault="00180C35" w:rsidP="00AD31D5">
      <w:pPr>
        <w:pStyle w:val="ListParagraph"/>
        <w:ind w:left="1440"/>
        <w:rPr>
          <w:i/>
        </w:rPr>
      </w:pPr>
      <w:r>
        <w:rPr>
          <w:i/>
        </w:rPr>
        <w:tab/>
        <w:t>U.S. v Salama, 891 F.Supp.2d 1132 (2012).</w:t>
      </w:r>
    </w:p>
    <w:p w14:paraId="7F00756F" w14:textId="77777777" w:rsidR="00180C35" w:rsidRDefault="00180C35" w:rsidP="00AD31D5">
      <w:pPr>
        <w:pStyle w:val="ListParagraph"/>
        <w:ind w:left="1440"/>
      </w:pPr>
    </w:p>
    <w:p w14:paraId="3774A551" w14:textId="020D25FB" w:rsidR="00AD31D5" w:rsidRDefault="00EF7FCE" w:rsidP="00AD31D5">
      <w:pPr>
        <w:pStyle w:val="ListParagraph"/>
        <w:ind w:left="1440"/>
        <w:rPr>
          <w:i/>
        </w:rPr>
      </w:pPr>
      <w:r w:rsidRPr="007F0849">
        <w:t>29</w:t>
      </w:r>
      <w:r w:rsidR="00AD31D5">
        <w:t xml:space="preserve">   </w:t>
      </w:r>
      <w:r w:rsidR="003431C2">
        <w:tab/>
      </w:r>
      <w:r w:rsidR="003F1AF2" w:rsidRPr="007F0849">
        <w:rPr>
          <w:i/>
        </w:rPr>
        <w:t>Maslenjak v U.S., 137 S.Ct.1918 (2017).</w:t>
      </w:r>
    </w:p>
    <w:p w14:paraId="461CCC1A" w14:textId="0D44A2A0" w:rsidR="003431C2" w:rsidRPr="00A10750" w:rsidRDefault="00AD31D5" w:rsidP="00A10750">
      <w:pPr>
        <w:pStyle w:val="ListParagraph"/>
        <w:ind w:left="1440"/>
      </w:pPr>
      <w:r>
        <w:lastRenderedPageBreak/>
        <w:t xml:space="preserve">       </w:t>
      </w:r>
      <w:r w:rsidR="003431C2">
        <w:tab/>
      </w:r>
      <w:r w:rsidR="00544EC6" w:rsidRPr="007F0849">
        <w:rPr>
          <w:i/>
        </w:rPr>
        <w:t>United States v Esparza, 678 F.3d 389 (5</w:t>
      </w:r>
      <w:r w:rsidR="00544EC6" w:rsidRPr="007F0849">
        <w:rPr>
          <w:i/>
          <w:vertAlign w:val="superscript"/>
        </w:rPr>
        <w:t>th</w:t>
      </w:r>
      <w:r w:rsidR="00544EC6" w:rsidRPr="007F0849">
        <w:rPr>
          <w:i/>
        </w:rPr>
        <w:t xml:space="preserve"> Cir. 2012).</w:t>
      </w:r>
    </w:p>
    <w:p w14:paraId="793229EC" w14:textId="77777777" w:rsidR="003431C2" w:rsidRPr="008D611E" w:rsidRDefault="003431C2" w:rsidP="00AD31D5">
      <w:pPr>
        <w:ind w:left="2160" w:firstLine="720"/>
        <w:contextualSpacing/>
        <w:rPr>
          <w:i/>
        </w:rPr>
      </w:pPr>
    </w:p>
    <w:p w14:paraId="74C4357B" w14:textId="77777777" w:rsidR="00AD31D5" w:rsidRDefault="00EF7FCE" w:rsidP="00AD31D5">
      <w:pPr>
        <w:ind w:left="720" w:firstLine="720"/>
      </w:pPr>
      <w:r w:rsidRPr="007F0849">
        <w:t xml:space="preserve">April </w:t>
      </w:r>
    </w:p>
    <w:p w14:paraId="12CBCEED" w14:textId="084FFB2D" w:rsidR="00AD31D5" w:rsidRDefault="00F85F7E" w:rsidP="00AD31D5">
      <w:pPr>
        <w:pStyle w:val="ListParagraph"/>
        <w:numPr>
          <w:ilvl w:val="0"/>
          <w:numId w:val="11"/>
        </w:numPr>
      </w:pPr>
      <w:r w:rsidRPr="007F0849">
        <w:t>Treason</w:t>
      </w:r>
    </w:p>
    <w:p w14:paraId="3BC4F6EF" w14:textId="77777777" w:rsidR="00AD31D5" w:rsidRDefault="003F1AF2" w:rsidP="00AD31D5">
      <w:pPr>
        <w:pStyle w:val="ListParagraph"/>
        <w:ind w:left="2160"/>
        <w:rPr>
          <w:i/>
        </w:rPr>
      </w:pPr>
      <w:r w:rsidRPr="007F0849">
        <w:t>Voluntary renunciation</w:t>
      </w:r>
      <w:r w:rsidR="008D611E">
        <w:t xml:space="preserve"> </w:t>
      </w:r>
      <w:r w:rsidRPr="007F0849">
        <w:t>INA§349.</w:t>
      </w:r>
      <w:r w:rsidR="008D611E" w:rsidRPr="00AD31D5">
        <w:rPr>
          <w:i/>
        </w:rPr>
        <w:t xml:space="preserve"> </w:t>
      </w:r>
    </w:p>
    <w:p w14:paraId="7408F0AD" w14:textId="3B977088" w:rsidR="00C407FE" w:rsidRPr="00AD31D5" w:rsidRDefault="008D611E" w:rsidP="00AD31D5">
      <w:pPr>
        <w:pStyle w:val="ListParagraph"/>
        <w:ind w:left="2160"/>
      </w:pPr>
      <w:r w:rsidRPr="007F0849">
        <w:rPr>
          <w:i/>
        </w:rPr>
        <w:t xml:space="preserve">Schneider v Rusk, </w:t>
      </w:r>
      <w:r w:rsidRPr="007F0849">
        <w:t>377 US 363 (1964).</w:t>
      </w:r>
    </w:p>
    <w:p w14:paraId="48AC872D" w14:textId="560C4213" w:rsidR="00EF7FCE" w:rsidRPr="007F0849" w:rsidRDefault="00EF7FCE" w:rsidP="00EF7FCE">
      <w:pPr>
        <w:pStyle w:val="ListParagraph"/>
        <w:ind w:left="1440"/>
      </w:pPr>
    </w:p>
    <w:p w14:paraId="149F51D9" w14:textId="77777777" w:rsidR="00AD31D5" w:rsidRDefault="00EF7FCE" w:rsidP="00AD31D5">
      <w:pPr>
        <w:ind w:left="720" w:firstLine="720"/>
        <w:contextualSpacing/>
      </w:pPr>
      <w:r w:rsidRPr="007F0849">
        <w:t>05</w:t>
      </w:r>
      <w:r w:rsidR="00FC2F28" w:rsidRPr="007F0849">
        <w:tab/>
      </w:r>
      <w:r w:rsidR="003F1AF2" w:rsidRPr="007F0849">
        <w:t>Passport/State Department Issues</w:t>
      </w:r>
    </w:p>
    <w:p w14:paraId="60D51A42" w14:textId="68C85AE6" w:rsidR="00AD31D5" w:rsidRDefault="003F1AF2" w:rsidP="00AD31D5">
      <w:pPr>
        <w:ind w:left="1440" w:firstLine="720"/>
        <w:contextualSpacing/>
      </w:pPr>
      <w:r w:rsidRPr="00AD31D5">
        <w:rPr>
          <w:i/>
        </w:rPr>
        <w:t>Haig v Agee, 453 US 280 (1981)</w:t>
      </w:r>
      <w:r w:rsidR="00AD31D5">
        <w:rPr>
          <w:i/>
        </w:rPr>
        <w:t>.</w:t>
      </w:r>
    </w:p>
    <w:p w14:paraId="20D18DCD" w14:textId="77777777" w:rsidR="00AD31D5" w:rsidRDefault="003F1AF2" w:rsidP="00AD31D5">
      <w:pPr>
        <w:ind w:left="1440" w:firstLine="720"/>
        <w:contextualSpacing/>
      </w:pPr>
      <w:r w:rsidRPr="00AD31D5">
        <w:rPr>
          <w:i/>
        </w:rPr>
        <w:t xml:space="preserve">Eurique v Powell, </w:t>
      </w:r>
      <w:r w:rsidRPr="007F0849">
        <w:t>302 F.3d 971 (2002)</w:t>
      </w:r>
      <w:r w:rsidRPr="00AD31D5">
        <w:rPr>
          <w:i/>
        </w:rPr>
        <w:t>.</w:t>
      </w:r>
    </w:p>
    <w:p w14:paraId="18507CA2" w14:textId="77777777" w:rsidR="00AD31D5" w:rsidRDefault="003F1AF2" w:rsidP="00AD31D5">
      <w:pPr>
        <w:ind w:left="1440" w:firstLine="720"/>
        <w:contextualSpacing/>
      </w:pPr>
      <w:r w:rsidRPr="00AD31D5">
        <w:rPr>
          <w:i/>
        </w:rPr>
        <w:t>Matter of Villanueva, 19 I&amp;N Dec. 101(1984</w:t>
      </w:r>
      <w:r w:rsidR="00AD31D5" w:rsidRPr="00AD31D5">
        <w:rPr>
          <w:i/>
        </w:rPr>
        <w:t>).</w:t>
      </w:r>
    </w:p>
    <w:p w14:paraId="4AEB3A12" w14:textId="39D7B3B4" w:rsidR="00C407FE" w:rsidRDefault="00E37472" w:rsidP="00AD31D5">
      <w:pPr>
        <w:ind w:left="1440" w:firstLine="720"/>
        <w:contextualSpacing/>
        <w:rPr>
          <w:i/>
        </w:rPr>
      </w:pPr>
      <w:r w:rsidRPr="00AD31D5">
        <w:rPr>
          <w:i/>
        </w:rPr>
        <w:t>Perkins v Elg, 307 U.S. 325 (1939).</w:t>
      </w:r>
    </w:p>
    <w:p w14:paraId="115B10EA" w14:textId="77777777" w:rsidR="00AD31D5" w:rsidRDefault="00AD31D5" w:rsidP="00AD31D5"/>
    <w:p w14:paraId="3EE4B3F4" w14:textId="77777777" w:rsidR="00AD31D5" w:rsidRDefault="00EF7FCE" w:rsidP="00AD31D5">
      <w:pPr>
        <w:ind w:left="720" w:firstLine="720"/>
        <w:contextualSpacing/>
        <w:rPr>
          <w:i/>
        </w:rPr>
      </w:pPr>
      <w:r w:rsidRPr="007F0849">
        <w:t>10</w:t>
      </w:r>
      <w:r w:rsidR="00FC2F28" w:rsidRPr="007F0849">
        <w:tab/>
      </w:r>
      <w:r w:rsidR="003F1AF2" w:rsidRPr="007F0849">
        <w:t>Equal Protection Cases</w:t>
      </w:r>
    </w:p>
    <w:p w14:paraId="0EBC0618" w14:textId="77777777" w:rsidR="00AD31D5" w:rsidRDefault="003F1AF2" w:rsidP="00AD31D5">
      <w:pPr>
        <w:ind w:left="1440" w:firstLine="720"/>
        <w:contextualSpacing/>
      </w:pPr>
      <w:r w:rsidRPr="007F0849">
        <w:rPr>
          <w:i/>
        </w:rPr>
        <w:t>Nguyen v INS</w:t>
      </w:r>
      <w:r w:rsidRPr="007F0849">
        <w:t>, 208 F.3d.528 (5</w:t>
      </w:r>
      <w:r w:rsidRPr="007F0849">
        <w:rPr>
          <w:vertAlign w:val="superscript"/>
        </w:rPr>
        <w:t>th</w:t>
      </w:r>
      <w:r w:rsidRPr="007F0849">
        <w:t xml:space="preserve"> Cir. 2000).</w:t>
      </w:r>
    </w:p>
    <w:p w14:paraId="07207305" w14:textId="77777777" w:rsidR="00AD31D5" w:rsidRDefault="00AD31D5" w:rsidP="00AD31D5">
      <w:pPr>
        <w:contextualSpacing/>
      </w:pPr>
    </w:p>
    <w:p w14:paraId="27D71DA0" w14:textId="77777777" w:rsidR="00AD31D5" w:rsidRDefault="00AD31D5" w:rsidP="00AD31D5">
      <w:pPr>
        <w:ind w:left="720" w:firstLine="720"/>
        <w:contextualSpacing/>
        <w:rPr>
          <w:i/>
        </w:rPr>
      </w:pPr>
      <w:r>
        <w:t xml:space="preserve">12 </w:t>
      </w:r>
      <w:r>
        <w:tab/>
      </w:r>
      <w:r w:rsidR="00D52188" w:rsidRPr="007F0849">
        <w:t>Administrative Denial</w:t>
      </w:r>
    </w:p>
    <w:p w14:paraId="2D9C7C9C" w14:textId="77777777" w:rsidR="00AD31D5" w:rsidRDefault="00E904DF" w:rsidP="00AD31D5">
      <w:pPr>
        <w:ind w:left="1440" w:firstLine="720"/>
        <w:contextualSpacing/>
      </w:pPr>
      <w:r>
        <w:t>8 CFR §336.1 et seq.</w:t>
      </w:r>
    </w:p>
    <w:p w14:paraId="21D619CA" w14:textId="5E06E82C" w:rsidR="00E904DF" w:rsidRDefault="00E904DF" w:rsidP="00AD31D5">
      <w:pPr>
        <w:ind w:left="1440" w:firstLine="720"/>
        <w:contextualSpacing/>
        <w:rPr>
          <w:i/>
        </w:rPr>
      </w:pPr>
      <w:r w:rsidRPr="00AD31D5">
        <w:rPr>
          <w:i/>
        </w:rPr>
        <w:t>Vahid-Dastjerdi v. Mueller, 2011 WL13135580</w:t>
      </w:r>
      <w:r w:rsidR="00A50D2F" w:rsidRPr="00AD31D5">
        <w:rPr>
          <w:i/>
        </w:rPr>
        <w:t xml:space="preserve"> (S</w:t>
      </w:r>
      <w:r w:rsidR="00AD31D5" w:rsidRPr="00AD31D5">
        <w:rPr>
          <w:i/>
        </w:rPr>
        <w:t>.D</w:t>
      </w:r>
      <w:r w:rsidR="00A50D2F" w:rsidRPr="00AD31D5">
        <w:rPr>
          <w:i/>
        </w:rPr>
        <w:t xml:space="preserve"> T</w:t>
      </w:r>
      <w:r w:rsidR="00AD31D5" w:rsidRPr="00AD31D5">
        <w:rPr>
          <w:i/>
        </w:rPr>
        <w:t>e</w:t>
      </w:r>
      <w:r w:rsidR="00A50D2F" w:rsidRPr="00AD31D5">
        <w:rPr>
          <w:i/>
        </w:rPr>
        <w:t>x.</w:t>
      </w:r>
      <w:r w:rsidR="00AD31D5" w:rsidRPr="00AD31D5">
        <w:rPr>
          <w:i/>
        </w:rPr>
        <w:t xml:space="preserve"> </w:t>
      </w:r>
      <w:r w:rsidR="00A50D2F" w:rsidRPr="00AD31D5">
        <w:rPr>
          <w:i/>
        </w:rPr>
        <w:t>2011).</w:t>
      </w:r>
    </w:p>
    <w:p w14:paraId="4A05C643" w14:textId="6F299014" w:rsidR="00AB317B" w:rsidRPr="00AD31D5" w:rsidRDefault="00AB317B" w:rsidP="00AD31D5">
      <w:pPr>
        <w:ind w:left="1440" w:firstLine="720"/>
        <w:contextualSpacing/>
        <w:rPr>
          <w:i/>
        </w:rPr>
      </w:pPr>
      <w:r>
        <w:rPr>
          <w:i/>
        </w:rPr>
        <w:t xml:space="preserve">Price v INS, </w:t>
      </w:r>
      <w:r w:rsidRPr="00AB317B">
        <w:t>962 F.2d 836 (9</w:t>
      </w:r>
      <w:r w:rsidRPr="00AB317B">
        <w:rPr>
          <w:vertAlign w:val="superscript"/>
        </w:rPr>
        <w:t>th</w:t>
      </w:r>
      <w:r w:rsidRPr="00AB317B">
        <w:t xml:space="preserve"> Cir.1992).</w:t>
      </w:r>
    </w:p>
    <w:p w14:paraId="6C9B1555" w14:textId="2A337364" w:rsidR="00C407FE" w:rsidRPr="007F0849" w:rsidRDefault="00EF7FCE" w:rsidP="00AD31D5">
      <w:pPr>
        <w:pStyle w:val="ListParagraph"/>
        <w:ind w:left="1440"/>
      </w:pPr>
      <w:r w:rsidRPr="007F0849">
        <w:t>17</w:t>
      </w:r>
      <w:r w:rsidR="00D52188" w:rsidRPr="007F0849">
        <w:t xml:space="preserve"> </w:t>
      </w:r>
      <w:r w:rsidR="00D52188" w:rsidRPr="007F0849">
        <w:tab/>
        <w:t>Federal Judicial Review</w:t>
      </w:r>
    </w:p>
    <w:p w14:paraId="58AF91DF" w14:textId="77777777" w:rsidR="00AD31D5" w:rsidRDefault="00D52188" w:rsidP="00AD31D5">
      <w:pPr>
        <w:pStyle w:val="ListParagraph"/>
        <w:ind w:left="1440"/>
      </w:pPr>
      <w:r w:rsidRPr="007F0849">
        <w:tab/>
        <w:t>INA § 336 (b)</w:t>
      </w:r>
    </w:p>
    <w:p w14:paraId="260ABAD0" w14:textId="77777777" w:rsidR="00AD31D5" w:rsidRDefault="006C65C7" w:rsidP="00AD31D5">
      <w:pPr>
        <w:pStyle w:val="ListParagraph"/>
        <w:ind w:left="1440" w:firstLine="720"/>
      </w:pPr>
      <w:r w:rsidRPr="00AD31D5">
        <w:rPr>
          <w:i/>
        </w:rPr>
        <w:t>US v Hovsepian,</w:t>
      </w:r>
      <w:r w:rsidRPr="006C65C7">
        <w:t xml:space="preserve"> </w:t>
      </w:r>
      <w:r w:rsidR="00F32C9D">
        <w:t xml:space="preserve">359 F.3d 1144 </w:t>
      </w:r>
      <w:r w:rsidRPr="006C65C7">
        <w:t>(9</w:t>
      </w:r>
      <w:r w:rsidRPr="00AD31D5">
        <w:rPr>
          <w:vertAlign w:val="superscript"/>
        </w:rPr>
        <w:t>th</w:t>
      </w:r>
      <w:r w:rsidRPr="006C65C7">
        <w:t xml:space="preserve"> Cir. 2004)</w:t>
      </w:r>
      <w:r w:rsidR="00A50D2F">
        <w:t>.</w:t>
      </w:r>
    </w:p>
    <w:p w14:paraId="72AE0B1B" w14:textId="77777777" w:rsidR="00AD31D5" w:rsidRDefault="00AD31D5" w:rsidP="00AD31D5">
      <w:pPr>
        <w:pStyle w:val="ListParagraph"/>
        <w:ind w:left="1440" w:firstLine="720"/>
      </w:pPr>
      <w:r w:rsidRPr="00AD31D5">
        <w:t>EAJA</w:t>
      </w:r>
    </w:p>
    <w:p w14:paraId="5DCB7FBF" w14:textId="6CF285F5" w:rsidR="00AD31D5" w:rsidRPr="00AD31D5" w:rsidRDefault="00AD31D5" w:rsidP="00A10750">
      <w:pPr>
        <w:pStyle w:val="ListParagraph"/>
        <w:ind w:left="1440" w:firstLine="720"/>
      </w:pPr>
      <w:r w:rsidRPr="00AD31D5">
        <w:rPr>
          <w:i/>
        </w:rPr>
        <w:t xml:space="preserve">INS v Jean, </w:t>
      </w:r>
      <w:r w:rsidRPr="00AD31D5">
        <w:t>496 U.S.</w:t>
      </w:r>
      <w:r w:rsidRPr="00AD31D5">
        <w:rPr>
          <w:i/>
        </w:rPr>
        <w:t xml:space="preserve"> </w:t>
      </w:r>
      <w:r>
        <w:t>154 (1990).</w:t>
      </w:r>
    </w:p>
    <w:p w14:paraId="3C8F6B2E" w14:textId="77777777" w:rsidR="00AD31D5" w:rsidRDefault="00AD31D5" w:rsidP="00AD31D5">
      <w:pPr>
        <w:contextualSpacing/>
      </w:pPr>
      <w:r>
        <w:tab/>
      </w:r>
      <w:r w:rsidR="00EF7FCE" w:rsidRPr="007F0849">
        <w:tab/>
        <w:t>19</w:t>
      </w:r>
      <w:r w:rsidR="003F1AF2" w:rsidRPr="007F0849">
        <w:tab/>
        <w:t>Texas Birth Certificates</w:t>
      </w:r>
    </w:p>
    <w:p w14:paraId="5D138EB5" w14:textId="311C3BB9" w:rsidR="00AD31D5" w:rsidRDefault="005A1F7F" w:rsidP="00AD31D5">
      <w:pPr>
        <w:ind w:left="1440" w:firstLine="720"/>
        <w:contextualSpacing/>
      </w:pPr>
      <w:r>
        <w:t xml:space="preserve">25 </w:t>
      </w:r>
      <w:r w:rsidR="00227138">
        <w:t xml:space="preserve">TX </w:t>
      </w:r>
      <w:r>
        <w:t>ADC§1.21</w:t>
      </w:r>
    </w:p>
    <w:p w14:paraId="232BF59C" w14:textId="40293A91" w:rsidR="00DE604E" w:rsidRPr="00DE604E" w:rsidRDefault="00DE604E" w:rsidP="00AD31D5">
      <w:pPr>
        <w:ind w:left="1440" w:firstLine="720"/>
        <w:contextualSpacing/>
        <w:rPr>
          <w:i/>
        </w:rPr>
      </w:pPr>
      <w:r w:rsidRPr="00DE604E">
        <w:rPr>
          <w:i/>
        </w:rPr>
        <w:t xml:space="preserve">Rios-Valenzuela v DHS, </w:t>
      </w:r>
      <w:r>
        <w:rPr>
          <w:i/>
        </w:rPr>
        <w:t>506 F.3d 393(2007).</w:t>
      </w:r>
    </w:p>
    <w:p w14:paraId="1B8329A3" w14:textId="10E4B131" w:rsidR="00AD31D5" w:rsidRDefault="005A1F7F" w:rsidP="00AD31D5">
      <w:pPr>
        <w:ind w:left="1440" w:firstLine="720"/>
        <w:contextualSpacing/>
      </w:pPr>
      <w:r>
        <w:t>Sanchez v Kerry, 2014 WL2932275 (S</w:t>
      </w:r>
      <w:r w:rsidR="00AD31D5">
        <w:t>.</w:t>
      </w:r>
      <w:r>
        <w:t>D</w:t>
      </w:r>
      <w:r w:rsidR="00AD31D5">
        <w:t>.Tex.</w:t>
      </w:r>
      <w:r>
        <w:t xml:space="preserve"> 2014)</w:t>
      </w:r>
      <w:r w:rsidR="00AD31D5">
        <w:t>.</w:t>
      </w:r>
    </w:p>
    <w:p w14:paraId="520204D4" w14:textId="253DF6F4" w:rsidR="005A1F7F" w:rsidRPr="007F0849" w:rsidRDefault="005A1F7F" w:rsidP="00A10750">
      <w:pPr>
        <w:ind w:left="1440" w:firstLine="720"/>
        <w:contextualSpacing/>
      </w:pPr>
      <w:r>
        <w:t>Sanchez v Kerry, 2015 WL 873012 (5</w:t>
      </w:r>
      <w:r w:rsidRPr="00AD31D5">
        <w:rPr>
          <w:vertAlign w:val="superscript"/>
        </w:rPr>
        <w:t>th</w:t>
      </w:r>
      <w:r>
        <w:t xml:space="preserve"> Cir. 2015)</w:t>
      </w:r>
      <w:r w:rsidR="00AD31D5">
        <w:t>.</w:t>
      </w:r>
    </w:p>
    <w:p w14:paraId="39EAFC5E" w14:textId="799C72B5" w:rsidR="00EF7FCE" w:rsidRPr="007F0849" w:rsidRDefault="00EF7FCE" w:rsidP="00EF7FCE">
      <w:pPr>
        <w:pStyle w:val="ListParagraph"/>
        <w:ind w:left="1440"/>
      </w:pPr>
      <w:r w:rsidRPr="007F0849">
        <w:t>24</w:t>
      </w:r>
      <w:r w:rsidRPr="007F0849">
        <w:tab/>
        <w:t>Last Day of Class</w:t>
      </w:r>
    </w:p>
    <w:p w14:paraId="089B67C8" w14:textId="77D09BF0" w:rsidR="00AD31D5" w:rsidRPr="007F0849" w:rsidRDefault="00EF7FCE" w:rsidP="00A10750">
      <w:pPr>
        <w:pStyle w:val="ListParagraph"/>
        <w:ind w:left="1440"/>
      </w:pPr>
      <w:r w:rsidRPr="007F0849">
        <w:tab/>
      </w:r>
    </w:p>
    <w:p w14:paraId="6BF313AA" w14:textId="1D9D2381" w:rsidR="00B21B8A" w:rsidRPr="007F0849" w:rsidRDefault="00B21B8A" w:rsidP="00B21B8A">
      <w:pPr>
        <w:pStyle w:val="ListParagraph"/>
        <w:numPr>
          <w:ilvl w:val="0"/>
          <w:numId w:val="1"/>
        </w:numPr>
      </w:pPr>
      <w:r w:rsidRPr="007F0849">
        <w:t>Reading Assignments</w:t>
      </w:r>
    </w:p>
    <w:p w14:paraId="3067D3F2" w14:textId="2C0C97DE" w:rsidR="00B21B8A" w:rsidRPr="007F0849" w:rsidRDefault="00B21B8A" w:rsidP="00B21B8A">
      <w:pPr>
        <w:pStyle w:val="ListParagraph"/>
        <w:ind w:left="1080"/>
      </w:pPr>
      <w:r w:rsidRPr="007F0849">
        <w:t>The professor will provide the reading assignments in advance of the individual lecture.</w:t>
      </w:r>
    </w:p>
    <w:p w14:paraId="087C10E6" w14:textId="77777777" w:rsidR="00B21B8A" w:rsidRPr="007F0849" w:rsidRDefault="00B21B8A" w:rsidP="00B21B8A">
      <w:pPr>
        <w:pStyle w:val="ListParagraph"/>
        <w:ind w:left="1080"/>
      </w:pPr>
    </w:p>
    <w:p w14:paraId="0C23808E" w14:textId="0065D6D5" w:rsidR="00B21B8A" w:rsidRPr="007F0849" w:rsidRDefault="00B21B8A" w:rsidP="00B21B8A">
      <w:pPr>
        <w:pStyle w:val="ListParagraph"/>
        <w:numPr>
          <w:ilvl w:val="0"/>
          <w:numId w:val="1"/>
        </w:numPr>
      </w:pPr>
      <w:r w:rsidRPr="007F0849">
        <w:t>LIVING DOCUMENT</w:t>
      </w:r>
    </w:p>
    <w:p w14:paraId="41889165" w14:textId="72236C75" w:rsidR="00DB0111" w:rsidRPr="007F0849" w:rsidRDefault="00B21B8A" w:rsidP="00AD31D5">
      <w:pPr>
        <w:pStyle w:val="ListParagraph"/>
        <w:ind w:left="1440"/>
      </w:pPr>
      <w:r w:rsidRPr="007F0849">
        <w:t>This is a living document and subject to change at the discretion of the professor without proper notice to the student.</w:t>
      </w:r>
    </w:p>
    <w:sectPr w:rsidR="00DB0111" w:rsidRPr="007F084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B7004B" w14:textId="77777777" w:rsidR="0025196D" w:rsidRDefault="0025196D" w:rsidP="009515B9">
      <w:pPr>
        <w:spacing w:after="0"/>
      </w:pPr>
      <w:r>
        <w:separator/>
      </w:r>
    </w:p>
  </w:endnote>
  <w:endnote w:type="continuationSeparator" w:id="0">
    <w:p w14:paraId="12B66909" w14:textId="77777777" w:rsidR="0025196D" w:rsidRDefault="0025196D" w:rsidP="009515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6550749"/>
      <w:docPartObj>
        <w:docPartGallery w:val="Page Numbers (Bottom of Page)"/>
        <w:docPartUnique/>
      </w:docPartObj>
    </w:sdtPr>
    <w:sdtEndPr>
      <w:rPr>
        <w:noProof/>
      </w:rPr>
    </w:sdtEndPr>
    <w:sdtContent>
      <w:p w14:paraId="4C536279" w14:textId="524EA528" w:rsidR="00C477A3" w:rsidRDefault="00C477A3">
        <w:pPr>
          <w:pStyle w:val="Footer"/>
          <w:jc w:val="center"/>
        </w:pPr>
        <w:r>
          <w:fldChar w:fldCharType="begin"/>
        </w:r>
        <w:r>
          <w:instrText xml:space="preserve"> PAGE   \* MERGEFORMAT </w:instrText>
        </w:r>
        <w:r>
          <w:fldChar w:fldCharType="separate"/>
        </w:r>
        <w:r w:rsidR="00D82DDE">
          <w:rPr>
            <w:noProof/>
          </w:rPr>
          <w:t>2</w:t>
        </w:r>
        <w:r>
          <w:rPr>
            <w:noProof/>
          </w:rPr>
          <w:fldChar w:fldCharType="end"/>
        </w:r>
      </w:p>
    </w:sdtContent>
  </w:sdt>
  <w:p w14:paraId="5D3A4819" w14:textId="77777777" w:rsidR="00C477A3" w:rsidRDefault="00C477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FD5CA0" w14:textId="77777777" w:rsidR="0025196D" w:rsidRDefault="0025196D" w:rsidP="009515B9">
      <w:pPr>
        <w:spacing w:after="0"/>
      </w:pPr>
      <w:r>
        <w:separator/>
      </w:r>
    </w:p>
  </w:footnote>
  <w:footnote w:type="continuationSeparator" w:id="0">
    <w:p w14:paraId="16232D6E" w14:textId="77777777" w:rsidR="0025196D" w:rsidRDefault="0025196D" w:rsidP="009515B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14FC1"/>
    <w:multiLevelType w:val="hybridMultilevel"/>
    <w:tmpl w:val="4E7AFFA0"/>
    <w:lvl w:ilvl="0" w:tplc="85BCF24E">
      <w:start w:val="27"/>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1E393736"/>
    <w:multiLevelType w:val="hybridMultilevel"/>
    <w:tmpl w:val="712AC1B6"/>
    <w:lvl w:ilvl="0" w:tplc="F418CF0E">
      <w:start w:val="1"/>
      <w:numFmt w:val="decimal"/>
      <w:lvlText w:val="%1."/>
      <w:lvlJc w:val="left"/>
      <w:pPr>
        <w:ind w:left="1440" w:hanging="72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83236F"/>
    <w:multiLevelType w:val="hybridMultilevel"/>
    <w:tmpl w:val="72746BEA"/>
    <w:lvl w:ilvl="0" w:tplc="2A5A0B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5637C4"/>
    <w:multiLevelType w:val="hybridMultilevel"/>
    <w:tmpl w:val="4AB6B2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02A55CF"/>
    <w:multiLevelType w:val="hybridMultilevel"/>
    <w:tmpl w:val="FB7C5680"/>
    <w:lvl w:ilvl="0" w:tplc="2214AD6E">
      <w:start w:val="1"/>
      <w:numFmt w:val="decimalZero"/>
      <w:lvlText w:val="%1"/>
      <w:lvlJc w:val="left"/>
      <w:pPr>
        <w:ind w:left="4320" w:hanging="144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40554052"/>
    <w:multiLevelType w:val="hybridMultilevel"/>
    <w:tmpl w:val="EDC8C1D0"/>
    <w:lvl w:ilvl="0" w:tplc="3D66D026">
      <w:start w:val="20"/>
      <w:numFmt w:val="decimal"/>
      <w:lvlText w:val="%1"/>
      <w:lvlJc w:val="left"/>
      <w:pPr>
        <w:ind w:left="2520" w:hanging="360"/>
      </w:pPr>
      <w:rPr>
        <w:rFonts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48C441FB"/>
    <w:multiLevelType w:val="hybridMultilevel"/>
    <w:tmpl w:val="1A2432EE"/>
    <w:lvl w:ilvl="0" w:tplc="2A5A0B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B9275F"/>
    <w:multiLevelType w:val="hybridMultilevel"/>
    <w:tmpl w:val="70E2EE86"/>
    <w:lvl w:ilvl="0" w:tplc="4D24C386">
      <w:start w:val="27"/>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54E062AD"/>
    <w:multiLevelType w:val="hybridMultilevel"/>
    <w:tmpl w:val="8876989C"/>
    <w:lvl w:ilvl="0" w:tplc="E5B60A5A">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CBE2BE4"/>
    <w:multiLevelType w:val="hybridMultilevel"/>
    <w:tmpl w:val="01D8130E"/>
    <w:lvl w:ilvl="0" w:tplc="0414D8F6">
      <w:start w:val="1"/>
      <w:numFmt w:val="decimalZero"/>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F324466"/>
    <w:multiLevelType w:val="hybridMultilevel"/>
    <w:tmpl w:val="7CC29A72"/>
    <w:lvl w:ilvl="0" w:tplc="9C90B14E">
      <w:start w:val="27"/>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658E3632"/>
    <w:multiLevelType w:val="hybridMultilevel"/>
    <w:tmpl w:val="F962C9CC"/>
    <w:lvl w:ilvl="0" w:tplc="7E005728">
      <w:start w:val="1"/>
      <w:numFmt w:val="decimalZero"/>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2"/>
  </w:num>
  <w:num w:numId="3">
    <w:abstractNumId w:val="1"/>
  </w:num>
  <w:num w:numId="4">
    <w:abstractNumId w:val="5"/>
  </w:num>
  <w:num w:numId="5">
    <w:abstractNumId w:val="7"/>
  </w:num>
  <w:num w:numId="6">
    <w:abstractNumId w:val="10"/>
  </w:num>
  <w:num w:numId="7">
    <w:abstractNumId w:val="0"/>
  </w:num>
  <w:num w:numId="8">
    <w:abstractNumId w:val="4"/>
  </w:num>
  <w:num w:numId="9">
    <w:abstractNumId w:val="3"/>
  </w:num>
  <w:num w:numId="10">
    <w:abstractNumId w:val="8"/>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30C"/>
    <w:rsid w:val="0001225A"/>
    <w:rsid w:val="000402C3"/>
    <w:rsid w:val="000452A8"/>
    <w:rsid w:val="000521A6"/>
    <w:rsid w:val="0007416E"/>
    <w:rsid w:val="000C1EE2"/>
    <w:rsid w:val="001011C6"/>
    <w:rsid w:val="00110B53"/>
    <w:rsid w:val="00180C35"/>
    <w:rsid w:val="0019585C"/>
    <w:rsid w:val="001A62F9"/>
    <w:rsid w:val="001C4573"/>
    <w:rsid w:val="001E0DDB"/>
    <w:rsid w:val="001E324C"/>
    <w:rsid w:val="00202854"/>
    <w:rsid w:val="0020712A"/>
    <w:rsid w:val="00227138"/>
    <w:rsid w:val="0025196D"/>
    <w:rsid w:val="00261900"/>
    <w:rsid w:val="0028615B"/>
    <w:rsid w:val="002D5708"/>
    <w:rsid w:val="002D65A0"/>
    <w:rsid w:val="002F68F0"/>
    <w:rsid w:val="00302FFB"/>
    <w:rsid w:val="003031C2"/>
    <w:rsid w:val="00314C68"/>
    <w:rsid w:val="00317FB0"/>
    <w:rsid w:val="0033530C"/>
    <w:rsid w:val="00342A49"/>
    <w:rsid w:val="003431C2"/>
    <w:rsid w:val="00343D3D"/>
    <w:rsid w:val="003554DB"/>
    <w:rsid w:val="00367E9F"/>
    <w:rsid w:val="003764B7"/>
    <w:rsid w:val="00395664"/>
    <w:rsid w:val="003F1AF2"/>
    <w:rsid w:val="00401DEB"/>
    <w:rsid w:val="00406C8C"/>
    <w:rsid w:val="00411C11"/>
    <w:rsid w:val="00457A77"/>
    <w:rsid w:val="00487256"/>
    <w:rsid w:val="004B4C61"/>
    <w:rsid w:val="005044CE"/>
    <w:rsid w:val="0051567B"/>
    <w:rsid w:val="00544EC6"/>
    <w:rsid w:val="005456BA"/>
    <w:rsid w:val="00546B5C"/>
    <w:rsid w:val="00577198"/>
    <w:rsid w:val="00587AE9"/>
    <w:rsid w:val="00597A20"/>
    <w:rsid w:val="005A1F7F"/>
    <w:rsid w:val="005B1E0F"/>
    <w:rsid w:val="005C33D3"/>
    <w:rsid w:val="005E58C1"/>
    <w:rsid w:val="00616740"/>
    <w:rsid w:val="00621A4A"/>
    <w:rsid w:val="00632B39"/>
    <w:rsid w:val="0064340B"/>
    <w:rsid w:val="00647E92"/>
    <w:rsid w:val="00661E46"/>
    <w:rsid w:val="00693AAD"/>
    <w:rsid w:val="00695399"/>
    <w:rsid w:val="006C65C7"/>
    <w:rsid w:val="006D0DB2"/>
    <w:rsid w:val="006E11ED"/>
    <w:rsid w:val="006E628D"/>
    <w:rsid w:val="007072C0"/>
    <w:rsid w:val="00726C21"/>
    <w:rsid w:val="007566A9"/>
    <w:rsid w:val="00760161"/>
    <w:rsid w:val="00764238"/>
    <w:rsid w:val="00782F93"/>
    <w:rsid w:val="007F0849"/>
    <w:rsid w:val="008125E1"/>
    <w:rsid w:val="00820A10"/>
    <w:rsid w:val="00825DE1"/>
    <w:rsid w:val="00844BFF"/>
    <w:rsid w:val="00844EBC"/>
    <w:rsid w:val="00850B08"/>
    <w:rsid w:val="00870C75"/>
    <w:rsid w:val="00895897"/>
    <w:rsid w:val="008B15B0"/>
    <w:rsid w:val="008D2BB5"/>
    <w:rsid w:val="008D611E"/>
    <w:rsid w:val="008D6718"/>
    <w:rsid w:val="00912DBD"/>
    <w:rsid w:val="00927508"/>
    <w:rsid w:val="009515B9"/>
    <w:rsid w:val="00963956"/>
    <w:rsid w:val="009641A9"/>
    <w:rsid w:val="0096460B"/>
    <w:rsid w:val="009652AB"/>
    <w:rsid w:val="00980E89"/>
    <w:rsid w:val="009B49E7"/>
    <w:rsid w:val="009B563C"/>
    <w:rsid w:val="009D202C"/>
    <w:rsid w:val="009D2771"/>
    <w:rsid w:val="009D425D"/>
    <w:rsid w:val="009E53A9"/>
    <w:rsid w:val="009F1D99"/>
    <w:rsid w:val="00A10750"/>
    <w:rsid w:val="00A10AF8"/>
    <w:rsid w:val="00A50D2F"/>
    <w:rsid w:val="00AB0395"/>
    <w:rsid w:val="00AB317B"/>
    <w:rsid w:val="00AC3F1F"/>
    <w:rsid w:val="00AC4C4B"/>
    <w:rsid w:val="00AD31D5"/>
    <w:rsid w:val="00AF5B1C"/>
    <w:rsid w:val="00B03A56"/>
    <w:rsid w:val="00B21B8A"/>
    <w:rsid w:val="00B23A7A"/>
    <w:rsid w:val="00B626CA"/>
    <w:rsid w:val="00B6699F"/>
    <w:rsid w:val="00B838FF"/>
    <w:rsid w:val="00B90629"/>
    <w:rsid w:val="00B90D3A"/>
    <w:rsid w:val="00BB3E94"/>
    <w:rsid w:val="00BB67C5"/>
    <w:rsid w:val="00BC3527"/>
    <w:rsid w:val="00BE60D5"/>
    <w:rsid w:val="00C0273C"/>
    <w:rsid w:val="00C1371D"/>
    <w:rsid w:val="00C153A3"/>
    <w:rsid w:val="00C1605A"/>
    <w:rsid w:val="00C2210C"/>
    <w:rsid w:val="00C407FE"/>
    <w:rsid w:val="00C477A3"/>
    <w:rsid w:val="00C52C3A"/>
    <w:rsid w:val="00C637B9"/>
    <w:rsid w:val="00C66D5C"/>
    <w:rsid w:val="00C82B03"/>
    <w:rsid w:val="00C96EEC"/>
    <w:rsid w:val="00D33A54"/>
    <w:rsid w:val="00D43C8C"/>
    <w:rsid w:val="00D52188"/>
    <w:rsid w:val="00D563A4"/>
    <w:rsid w:val="00D82DDE"/>
    <w:rsid w:val="00DB0111"/>
    <w:rsid w:val="00DB2A46"/>
    <w:rsid w:val="00DD44CD"/>
    <w:rsid w:val="00DE0E80"/>
    <w:rsid w:val="00DE207C"/>
    <w:rsid w:val="00DE2EB3"/>
    <w:rsid w:val="00DE604E"/>
    <w:rsid w:val="00DF2094"/>
    <w:rsid w:val="00E20A81"/>
    <w:rsid w:val="00E3012E"/>
    <w:rsid w:val="00E33B94"/>
    <w:rsid w:val="00E365D3"/>
    <w:rsid w:val="00E37472"/>
    <w:rsid w:val="00E449AF"/>
    <w:rsid w:val="00E57F16"/>
    <w:rsid w:val="00E904DF"/>
    <w:rsid w:val="00EC72E5"/>
    <w:rsid w:val="00EF050E"/>
    <w:rsid w:val="00EF5D71"/>
    <w:rsid w:val="00EF7FCE"/>
    <w:rsid w:val="00F32C9D"/>
    <w:rsid w:val="00F43B2A"/>
    <w:rsid w:val="00F85F7E"/>
    <w:rsid w:val="00FA0968"/>
    <w:rsid w:val="00FC2F28"/>
    <w:rsid w:val="00FE72B9"/>
    <w:rsid w:val="00FF2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C27F5"/>
  <w15:chartTrackingRefBased/>
  <w15:docId w15:val="{6B5E8F32-05C5-46C7-B3C3-7C8268F76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4DB"/>
    <w:pPr>
      <w:ind w:left="720"/>
      <w:contextualSpacing/>
    </w:pPr>
  </w:style>
  <w:style w:type="character" w:styleId="CommentReference">
    <w:name w:val="annotation reference"/>
    <w:basedOn w:val="DefaultParagraphFont"/>
    <w:uiPriority w:val="99"/>
    <w:semiHidden/>
    <w:unhideWhenUsed/>
    <w:rsid w:val="009652AB"/>
    <w:rPr>
      <w:sz w:val="16"/>
      <w:szCs w:val="16"/>
    </w:rPr>
  </w:style>
  <w:style w:type="paragraph" w:styleId="CommentText">
    <w:name w:val="annotation text"/>
    <w:basedOn w:val="Normal"/>
    <w:link w:val="CommentTextChar"/>
    <w:uiPriority w:val="99"/>
    <w:semiHidden/>
    <w:unhideWhenUsed/>
    <w:rsid w:val="009652AB"/>
    <w:rPr>
      <w:sz w:val="20"/>
      <w:szCs w:val="20"/>
    </w:rPr>
  </w:style>
  <w:style w:type="character" w:customStyle="1" w:styleId="CommentTextChar">
    <w:name w:val="Comment Text Char"/>
    <w:basedOn w:val="DefaultParagraphFont"/>
    <w:link w:val="CommentText"/>
    <w:uiPriority w:val="99"/>
    <w:semiHidden/>
    <w:rsid w:val="009652AB"/>
    <w:rPr>
      <w:sz w:val="20"/>
      <w:szCs w:val="20"/>
    </w:rPr>
  </w:style>
  <w:style w:type="paragraph" w:styleId="CommentSubject">
    <w:name w:val="annotation subject"/>
    <w:basedOn w:val="CommentText"/>
    <w:next w:val="CommentText"/>
    <w:link w:val="CommentSubjectChar"/>
    <w:uiPriority w:val="99"/>
    <w:semiHidden/>
    <w:unhideWhenUsed/>
    <w:rsid w:val="009652AB"/>
    <w:rPr>
      <w:b/>
      <w:bCs/>
    </w:rPr>
  </w:style>
  <w:style w:type="character" w:customStyle="1" w:styleId="CommentSubjectChar">
    <w:name w:val="Comment Subject Char"/>
    <w:basedOn w:val="CommentTextChar"/>
    <w:link w:val="CommentSubject"/>
    <w:uiPriority w:val="99"/>
    <w:semiHidden/>
    <w:rsid w:val="009652AB"/>
    <w:rPr>
      <w:b/>
      <w:bCs/>
      <w:sz w:val="20"/>
      <w:szCs w:val="20"/>
    </w:rPr>
  </w:style>
  <w:style w:type="paragraph" w:styleId="BalloonText">
    <w:name w:val="Balloon Text"/>
    <w:basedOn w:val="Normal"/>
    <w:link w:val="BalloonTextChar"/>
    <w:uiPriority w:val="99"/>
    <w:semiHidden/>
    <w:unhideWhenUsed/>
    <w:rsid w:val="009652A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52AB"/>
    <w:rPr>
      <w:rFonts w:ascii="Segoe UI" w:hAnsi="Segoe UI" w:cs="Segoe UI"/>
      <w:sz w:val="18"/>
      <w:szCs w:val="18"/>
    </w:rPr>
  </w:style>
  <w:style w:type="paragraph" w:customStyle="1" w:styleId="rteindent1">
    <w:name w:val="rteindent1"/>
    <w:basedOn w:val="Normal"/>
    <w:rsid w:val="00401DEB"/>
    <w:pPr>
      <w:spacing w:before="100" w:beforeAutospacing="1" w:after="100" w:afterAutospacing="1"/>
    </w:pPr>
    <w:rPr>
      <w:rFonts w:eastAsia="Times New Roman"/>
    </w:rPr>
  </w:style>
  <w:style w:type="character" w:styleId="Strong">
    <w:name w:val="Strong"/>
    <w:basedOn w:val="DefaultParagraphFont"/>
    <w:uiPriority w:val="22"/>
    <w:qFormat/>
    <w:rsid w:val="00401DEB"/>
    <w:rPr>
      <w:b/>
      <w:bCs/>
    </w:rPr>
  </w:style>
  <w:style w:type="character" w:styleId="Emphasis">
    <w:name w:val="Emphasis"/>
    <w:basedOn w:val="DefaultParagraphFont"/>
    <w:uiPriority w:val="20"/>
    <w:qFormat/>
    <w:rsid w:val="00401DEB"/>
    <w:rPr>
      <w:i/>
      <w:iCs/>
    </w:rPr>
  </w:style>
  <w:style w:type="paragraph" w:customStyle="1" w:styleId="rteindent2">
    <w:name w:val="rteindent2"/>
    <w:basedOn w:val="Normal"/>
    <w:rsid w:val="00401DEB"/>
    <w:pPr>
      <w:spacing w:before="100" w:beforeAutospacing="1" w:after="100" w:afterAutospacing="1"/>
    </w:pPr>
    <w:rPr>
      <w:rFonts w:eastAsia="Times New Roman"/>
    </w:rPr>
  </w:style>
  <w:style w:type="paragraph" w:styleId="Header">
    <w:name w:val="header"/>
    <w:basedOn w:val="Normal"/>
    <w:link w:val="HeaderChar"/>
    <w:uiPriority w:val="99"/>
    <w:unhideWhenUsed/>
    <w:rsid w:val="009515B9"/>
    <w:pPr>
      <w:tabs>
        <w:tab w:val="center" w:pos="4680"/>
        <w:tab w:val="right" w:pos="9360"/>
      </w:tabs>
      <w:spacing w:after="0"/>
    </w:pPr>
  </w:style>
  <w:style w:type="character" w:customStyle="1" w:styleId="HeaderChar">
    <w:name w:val="Header Char"/>
    <w:basedOn w:val="DefaultParagraphFont"/>
    <w:link w:val="Header"/>
    <w:uiPriority w:val="99"/>
    <w:rsid w:val="009515B9"/>
  </w:style>
  <w:style w:type="paragraph" w:styleId="Footer">
    <w:name w:val="footer"/>
    <w:basedOn w:val="Normal"/>
    <w:link w:val="FooterChar"/>
    <w:uiPriority w:val="99"/>
    <w:unhideWhenUsed/>
    <w:rsid w:val="009515B9"/>
    <w:pPr>
      <w:tabs>
        <w:tab w:val="center" w:pos="4680"/>
        <w:tab w:val="right" w:pos="9360"/>
      </w:tabs>
      <w:spacing w:after="0"/>
    </w:pPr>
  </w:style>
  <w:style w:type="character" w:customStyle="1" w:styleId="FooterChar">
    <w:name w:val="Footer Char"/>
    <w:basedOn w:val="DefaultParagraphFont"/>
    <w:link w:val="Footer"/>
    <w:uiPriority w:val="99"/>
    <w:rsid w:val="009515B9"/>
  </w:style>
  <w:style w:type="paragraph" w:styleId="Revision">
    <w:name w:val="Revision"/>
    <w:hidden/>
    <w:uiPriority w:val="99"/>
    <w:semiHidden/>
    <w:rsid w:val="00BC3527"/>
    <w:pPr>
      <w:spacing w:after="0"/>
    </w:pPr>
  </w:style>
  <w:style w:type="paragraph" w:styleId="NoSpacing">
    <w:name w:val="No Spacing"/>
    <w:uiPriority w:val="1"/>
    <w:qFormat/>
    <w:rsid w:val="00DE2EB3"/>
    <w:pPr>
      <w:spacing w:after="0"/>
    </w:pPr>
  </w:style>
  <w:style w:type="character" w:styleId="PlaceholderText">
    <w:name w:val="Placeholder Text"/>
    <w:basedOn w:val="DefaultParagraphFont"/>
    <w:uiPriority w:val="99"/>
    <w:semiHidden/>
    <w:rsid w:val="00546B5C"/>
    <w:rPr>
      <w:color w:val="808080"/>
    </w:rPr>
  </w:style>
  <w:style w:type="character" w:customStyle="1" w:styleId="cosearchterm">
    <w:name w:val="co_searchterm"/>
    <w:basedOn w:val="DefaultParagraphFont"/>
    <w:rsid w:val="00C52C3A"/>
  </w:style>
  <w:style w:type="character" w:styleId="Hyperlink">
    <w:name w:val="Hyperlink"/>
    <w:basedOn w:val="DefaultParagraphFont"/>
    <w:uiPriority w:val="99"/>
    <w:semiHidden/>
    <w:unhideWhenUsed/>
    <w:rsid w:val="00C52C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407427">
      <w:bodyDiv w:val="1"/>
      <w:marLeft w:val="0"/>
      <w:marRight w:val="0"/>
      <w:marTop w:val="0"/>
      <w:marBottom w:val="0"/>
      <w:divBdr>
        <w:top w:val="none" w:sz="0" w:space="0" w:color="auto"/>
        <w:left w:val="none" w:sz="0" w:space="0" w:color="auto"/>
        <w:bottom w:val="none" w:sz="0" w:space="0" w:color="auto"/>
        <w:right w:val="none" w:sz="0" w:space="0" w:color="auto"/>
      </w:divBdr>
    </w:div>
    <w:div w:id="1063916599">
      <w:bodyDiv w:val="1"/>
      <w:marLeft w:val="0"/>
      <w:marRight w:val="0"/>
      <w:marTop w:val="0"/>
      <w:marBottom w:val="0"/>
      <w:divBdr>
        <w:top w:val="none" w:sz="0" w:space="0" w:color="auto"/>
        <w:left w:val="none" w:sz="0" w:space="0" w:color="auto"/>
        <w:bottom w:val="none" w:sz="0" w:space="0" w:color="auto"/>
        <w:right w:val="none" w:sz="0" w:space="0" w:color="auto"/>
      </w:divBdr>
    </w:div>
    <w:div w:id="203681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Y&amp;serNum=2012858482&amp;pubNum=0004637&amp;originatingDoc=N600A6360A35911D8B9DE9866EEAFC42E&amp;refType=RP&amp;originationContext=document&amp;transitionType=DocumentItem&amp;contextData=(sc.Searc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7D576-27AD-4C48-8E6F-D80C6D52A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1274</Words>
  <Characters>7267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 Hew</dc:creator>
  <cp:keywords/>
  <dc:description/>
  <cp:lastModifiedBy>Alridge, Jo (TMSLAW)</cp:lastModifiedBy>
  <cp:revision>2</cp:revision>
  <cp:lastPrinted>2018-01-17T00:06:00Z</cp:lastPrinted>
  <dcterms:created xsi:type="dcterms:W3CDTF">2018-01-25T21:24:00Z</dcterms:created>
  <dcterms:modified xsi:type="dcterms:W3CDTF">2018-01-25T21:24:00Z</dcterms:modified>
</cp:coreProperties>
</file>